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172A31" w14:textId="5D53D8FD" w:rsidR="0045264E" w:rsidRPr="0045264E" w:rsidRDefault="0045264E" w:rsidP="0045264E">
      <w:pPr>
        <w:jc w:val="center"/>
        <w:rPr>
          <w:b/>
          <w:bCs/>
          <w:sz w:val="22"/>
          <w:szCs w:val="22"/>
        </w:rPr>
      </w:pPr>
      <w:bookmarkStart w:id="0" w:name="_GoBack"/>
      <w:bookmarkEnd w:id="0"/>
      <w:r w:rsidRPr="0045264E">
        <w:rPr>
          <w:rFonts w:hint="eastAsia"/>
          <w:b/>
          <w:bCs/>
          <w:sz w:val="22"/>
          <w:szCs w:val="22"/>
        </w:rPr>
        <w:t>研究の流れの説明（</w:t>
      </w:r>
      <w:r w:rsidR="00997481">
        <w:rPr>
          <w:rFonts w:hint="eastAsia"/>
          <w:b/>
          <w:bCs/>
          <w:sz w:val="22"/>
          <w:szCs w:val="22"/>
        </w:rPr>
        <w:t>簡易版</w:t>
      </w:r>
      <w:r w:rsidRPr="0045264E">
        <w:rPr>
          <w:rFonts w:hint="eastAsia"/>
          <w:b/>
          <w:bCs/>
          <w:sz w:val="22"/>
          <w:szCs w:val="22"/>
        </w:rPr>
        <w:t>向け）</w:t>
      </w:r>
    </w:p>
    <w:p w14:paraId="1F43D424" w14:textId="77777777" w:rsidR="0045264E" w:rsidRDefault="0045264E">
      <w:pPr>
        <w:rPr>
          <w:sz w:val="22"/>
          <w:szCs w:val="22"/>
        </w:rPr>
      </w:pPr>
    </w:p>
    <w:p w14:paraId="3CC8C18C" w14:textId="6ECF02EA" w:rsidR="00A5149F" w:rsidRPr="000A7FE8" w:rsidRDefault="007219A3">
      <w:pPr>
        <w:rPr>
          <w:sz w:val="22"/>
          <w:szCs w:val="22"/>
        </w:rPr>
      </w:pPr>
      <w:r w:rsidRPr="000A7FE8">
        <w:rPr>
          <w:rFonts w:hint="eastAsia"/>
          <w:sz w:val="22"/>
          <w:szCs w:val="22"/>
        </w:rPr>
        <w:t>エピゲノム制御とは全ての細胞活動の</w:t>
      </w:r>
      <w:r w:rsidR="000E4267">
        <w:rPr>
          <w:rFonts w:hint="eastAsia"/>
          <w:sz w:val="22"/>
          <w:szCs w:val="22"/>
        </w:rPr>
        <w:t>源となる</w:t>
      </w:r>
      <w:r w:rsidRPr="000A7FE8">
        <w:rPr>
          <w:rFonts w:hint="eastAsia"/>
          <w:sz w:val="22"/>
          <w:szCs w:val="22"/>
        </w:rPr>
        <w:t>遺伝情報（ゲノム）をいつ、どのように、どれくらい読み取るか（転写するか）を調節することです。私たちの身体にはポリコーム</w:t>
      </w:r>
      <w:r w:rsidR="00A07D0E" w:rsidRPr="000A7FE8">
        <w:rPr>
          <w:rFonts w:hint="eastAsia"/>
          <w:sz w:val="22"/>
          <w:szCs w:val="22"/>
        </w:rPr>
        <w:t>（PRC</w:t>
      </w:r>
      <w:r w:rsidR="00A07D0E" w:rsidRPr="000A7FE8">
        <w:rPr>
          <w:sz w:val="22"/>
          <w:szCs w:val="22"/>
        </w:rPr>
        <w:t>）</w:t>
      </w:r>
      <w:r w:rsidRPr="000A7FE8">
        <w:rPr>
          <w:rFonts w:hint="eastAsia"/>
          <w:sz w:val="22"/>
          <w:szCs w:val="22"/>
        </w:rPr>
        <w:t>やトリソラックス</w:t>
      </w:r>
      <w:r w:rsidR="00A07D0E" w:rsidRPr="000A7FE8">
        <w:rPr>
          <w:rFonts w:hint="eastAsia"/>
          <w:sz w:val="22"/>
          <w:szCs w:val="22"/>
        </w:rPr>
        <w:t>（TRX</w:t>
      </w:r>
      <w:r w:rsidR="00A07D0E" w:rsidRPr="000A7FE8">
        <w:rPr>
          <w:sz w:val="22"/>
          <w:szCs w:val="22"/>
        </w:rPr>
        <w:t xml:space="preserve">, MLL </w:t>
      </w:r>
      <w:r w:rsidR="00A07D0E" w:rsidRPr="000A7FE8">
        <w:rPr>
          <w:rFonts w:hint="eastAsia"/>
          <w:sz w:val="22"/>
          <w:szCs w:val="22"/>
        </w:rPr>
        <w:t>複合体）</w:t>
      </w:r>
      <w:r w:rsidRPr="000A7FE8">
        <w:rPr>
          <w:rFonts w:hint="eastAsia"/>
          <w:sz w:val="22"/>
          <w:szCs w:val="22"/>
        </w:rPr>
        <w:t>というエピゲノム</w:t>
      </w:r>
      <w:r w:rsidR="009344EB" w:rsidRPr="000A7FE8">
        <w:rPr>
          <w:rFonts w:hint="eastAsia"/>
          <w:sz w:val="22"/>
          <w:szCs w:val="22"/>
        </w:rPr>
        <w:t xml:space="preserve">調節複合体が正確に働いて、手足、骨の位置などの基礎組み </w:t>
      </w:r>
      <w:r w:rsidR="009344EB" w:rsidRPr="000A7FE8">
        <w:rPr>
          <w:sz w:val="22"/>
          <w:szCs w:val="22"/>
        </w:rPr>
        <w:t>(body planning)</w:t>
      </w:r>
      <w:r w:rsidR="009344EB" w:rsidRPr="000A7FE8">
        <w:rPr>
          <w:rFonts w:hint="eastAsia"/>
          <w:sz w:val="22"/>
          <w:szCs w:val="22"/>
        </w:rPr>
        <w:t xml:space="preserve"> がなされます。またゲノムはヒストンというタンパクで廻りを取り囲</w:t>
      </w:r>
      <w:r w:rsidR="009A7314" w:rsidRPr="000A7FE8">
        <w:rPr>
          <w:rFonts w:hint="eastAsia"/>
          <w:sz w:val="22"/>
          <w:szCs w:val="22"/>
        </w:rPr>
        <w:t>まれ</w:t>
      </w:r>
      <w:r w:rsidR="009344EB" w:rsidRPr="000A7FE8">
        <w:rPr>
          <w:rFonts w:hint="eastAsia"/>
          <w:sz w:val="22"/>
          <w:szCs w:val="22"/>
        </w:rPr>
        <w:t>コンパクトに</w:t>
      </w:r>
      <w:r w:rsidR="009A7314" w:rsidRPr="000A7FE8">
        <w:rPr>
          <w:rFonts w:hint="eastAsia"/>
          <w:sz w:val="22"/>
          <w:szCs w:val="22"/>
        </w:rPr>
        <w:t>収納されています。このヒストンの端（ヒストンテール）のリジン残基やアルギニン残基にメチル基やアセチル基などの修飾が生じることでこの部分の遺伝情報の読み取り（</w:t>
      </w:r>
      <w:r w:rsidR="008D0F40" w:rsidRPr="000A7FE8">
        <w:rPr>
          <w:rFonts w:hint="eastAsia"/>
          <w:sz w:val="22"/>
          <w:szCs w:val="22"/>
        </w:rPr>
        <w:t>RNA ポリメラーゼII による</w:t>
      </w:r>
      <w:r w:rsidR="009A7314" w:rsidRPr="000A7FE8">
        <w:rPr>
          <w:rFonts w:hint="eastAsia"/>
          <w:sz w:val="22"/>
          <w:szCs w:val="22"/>
        </w:rPr>
        <w:t>転写）を活性化させるか（アクセル</w:t>
      </w:r>
      <w:r w:rsidR="008D0F40" w:rsidRPr="000A7FE8">
        <w:rPr>
          <w:rFonts w:hint="eastAsia"/>
          <w:sz w:val="22"/>
          <w:szCs w:val="22"/>
        </w:rPr>
        <w:t>入れるか</w:t>
      </w:r>
      <w:r w:rsidR="009A7314" w:rsidRPr="000A7FE8">
        <w:rPr>
          <w:rFonts w:hint="eastAsia"/>
          <w:sz w:val="22"/>
          <w:szCs w:val="22"/>
        </w:rPr>
        <w:t>）､抑制するか（</w:t>
      </w:r>
      <w:r w:rsidR="008D0F40" w:rsidRPr="000A7FE8">
        <w:rPr>
          <w:rFonts w:hint="eastAsia"/>
          <w:sz w:val="22"/>
          <w:szCs w:val="22"/>
        </w:rPr>
        <w:t>ブレーキかけるか</w:t>
      </w:r>
      <w:r w:rsidR="009A7314" w:rsidRPr="000A7FE8">
        <w:rPr>
          <w:rFonts w:hint="eastAsia"/>
          <w:sz w:val="22"/>
          <w:szCs w:val="22"/>
        </w:rPr>
        <w:t>）をコントロールすることがわかって</w:t>
      </w:r>
      <w:r w:rsidR="00A07D0E" w:rsidRPr="000A7FE8">
        <w:rPr>
          <w:rFonts w:hint="eastAsia"/>
          <w:sz w:val="22"/>
          <w:szCs w:val="22"/>
        </w:rPr>
        <w:t>います。</w:t>
      </w:r>
      <w:r w:rsidR="008D0F40" w:rsidRPr="000A7FE8">
        <w:rPr>
          <w:rFonts w:hint="eastAsia"/>
          <w:sz w:val="22"/>
          <w:szCs w:val="22"/>
        </w:rPr>
        <w:t>典型的な P</w:t>
      </w:r>
      <w:r w:rsidR="008D0F40" w:rsidRPr="000A7FE8">
        <w:rPr>
          <w:sz w:val="22"/>
          <w:szCs w:val="22"/>
        </w:rPr>
        <w:t>RC1</w:t>
      </w:r>
      <w:r w:rsidR="008D0F40" w:rsidRPr="000A7FE8">
        <w:rPr>
          <w:rFonts w:hint="eastAsia"/>
          <w:sz w:val="22"/>
          <w:szCs w:val="22"/>
        </w:rPr>
        <w:t>（</w:t>
      </w:r>
      <w:r w:rsidR="008D0F40" w:rsidRPr="000A7FE8">
        <w:rPr>
          <w:sz w:val="22"/>
          <w:szCs w:val="22"/>
        </w:rPr>
        <w:t xml:space="preserve">canonical PRC1） </w:t>
      </w:r>
      <w:r w:rsidR="00A07D0E" w:rsidRPr="000A7FE8">
        <w:rPr>
          <w:rFonts w:hint="eastAsia"/>
          <w:sz w:val="22"/>
          <w:szCs w:val="22"/>
        </w:rPr>
        <w:t>によってヒストン</w:t>
      </w:r>
      <w:r w:rsidR="008D0F40" w:rsidRPr="000A7FE8">
        <w:rPr>
          <w:sz w:val="22"/>
          <w:szCs w:val="22"/>
        </w:rPr>
        <w:t xml:space="preserve"> </w:t>
      </w:r>
      <w:r w:rsidR="00A07D0E" w:rsidRPr="000A7FE8">
        <w:rPr>
          <w:rFonts w:hint="eastAsia"/>
          <w:sz w:val="22"/>
          <w:szCs w:val="22"/>
        </w:rPr>
        <w:t>H2A の119番目のリジン残基にユビキチン修飾</w:t>
      </w:r>
      <w:r w:rsidR="008D0F40" w:rsidRPr="000A7FE8">
        <w:rPr>
          <w:sz w:val="22"/>
          <w:szCs w:val="22"/>
        </w:rPr>
        <w:t xml:space="preserve"> </w:t>
      </w:r>
      <w:r w:rsidR="00A07D0E" w:rsidRPr="000A7FE8">
        <w:rPr>
          <w:sz w:val="22"/>
          <w:szCs w:val="22"/>
        </w:rPr>
        <w:t>(H2AK119Ub</w:t>
      </w:r>
      <w:r w:rsidR="00A07D0E" w:rsidRPr="000A7FE8">
        <w:rPr>
          <w:rFonts w:hint="eastAsia"/>
          <w:sz w:val="22"/>
          <w:szCs w:val="22"/>
        </w:rPr>
        <w:t>)</w:t>
      </w:r>
      <w:r w:rsidR="008D0F40" w:rsidRPr="000A7FE8">
        <w:rPr>
          <w:rFonts w:hint="eastAsia"/>
          <w:sz w:val="22"/>
          <w:szCs w:val="22"/>
        </w:rPr>
        <w:t>が入る</w:t>
      </w:r>
      <w:r w:rsidR="00A07D0E" w:rsidRPr="000A7FE8">
        <w:rPr>
          <w:rFonts w:hint="eastAsia"/>
          <w:sz w:val="22"/>
          <w:szCs w:val="22"/>
        </w:rPr>
        <w:t>とヒストンが</w:t>
      </w:r>
      <w:r w:rsidR="008D0F40" w:rsidRPr="000A7FE8">
        <w:rPr>
          <w:rFonts w:hint="eastAsia"/>
          <w:sz w:val="22"/>
          <w:szCs w:val="22"/>
        </w:rPr>
        <w:t>凝集し、また典型的な</w:t>
      </w:r>
      <w:r w:rsidR="008D0F40" w:rsidRPr="000A7FE8">
        <w:rPr>
          <w:sz w:val="22"/>
          <w:szCs w:val="22"/>
        </w:rPr>
        <w:t xml:space="preserve"> </w:t>
      </w:r>
      <w:r w:rsidR="008D0F40" w:rsidRPr="000A7FE8">
        <w:rPr>
          <w:rFonts w:hint="eastAsia"/>
          <w:sz w:val="22"/>
          <w:szCs w:val="22"/>
        </w:rPr>
        <w:t>PRC2 によってヒストン</w:t>
      </w:r>
      <w:r w:rsidR="008D0F40" w:rsidRPr="000A7FE8">
        <w:rPr>
          <w:sz w:val="22"/>
          <w:szCs w:val="22"/>
        </w:rPr>
        <w:t xml:space="preserve">H3 </w:t>
      </w:r>
      <w:r w:rsidR="008D0F40" w:rsidRPr="000A7FE8">
        <w:rPr>
          <w:rFonts w:hint="eastAsia"/>
          <w:sz w:val="22"/>
          <w:szCs w:val="22"/>
        </w:rPr>
        <w:t>のリジン27番目にメチル基が３つはいると</w:t>
      </w:r>
      <w:r w:rsidR="008D0F40" w:rsidRPr="000A7FE8">
        <w:rPr>
          <w:sz w:val="22"/>
          <w:szCs w:val="22"/>
        </w:rPr>
        <w:t xml:space="preserve"> (H3K27me3)</w:t>
      </w:r>
      <w:r w:rsidR="008D0F40" w:rsidRPr="000A7FE8">
        <w:rPr>
          <w:rFonts w:hint="eastAsia"/>
          <w:sz w:val="22"/>
          <w:szCs w:val="22"/>
        </w:rPr>
        <w:t>、転写にブレーキがかかります。一方、</w:t>
      </w:r>
      <w:r w:rsidR="004112F6" w:rsidRPr="000A7FE8">
        <w:rPr>
          <w:rFonts w:hint="eastAsia"/>
          <w:sz w:val="22"/>
          <w:szCs w:val="22"/>
        </w:rPr>
        <w:t>トリソラックス複合体</w:t>
      </w:r>
      <w:r w:rsidR="004112F6" w:rsidRPr="000A7FE8">
        <w:rPr>
          <w:sz w:val="22"/>
          <w:szCs w:val="22"/>
        </w:rPr>
        <w:t xml:space="preserve"> (COMPASS-</w:t>
      </w:r>
      <w:r w:rsidR="004112F6" w:rsidRPr="000A7FE8">
        <w:rPr>
          <w:rFonts w:hint="eastAsia"/>
          <w:sz w:val="22"/>
          <w:szCs w:val="22"/>
        </w:rPr>
        <w:t>複合体、</w:t>
      </w:r>
      <w:r w:rsidR="004112F6" w:rsidRPr="000A7FE8">
        <w:rPr>
          <w:sz w:val="22"/>
          <w:szCs w:val="22"/>
        </w:rPr>
        <w:t xml:space="preserve">MLL1-4) </w:t>
      </w:r>
      <w:r w:rsidR="004112F6" w:rsidRPr="000A7FE8">
        <w:rPr>
          <w:rFonts w:hint="eastAsia"/>
          <w:sz w:val="22"/>
          <w:szCs w:val="22"/>
        </w:rPr>
        <w:t>によってヒストンH3 のリジン4番目にメチル基が３つはいると</w:t>
      </w:r>
      <w:r w:rsidR="004112F6" w:rsidRPr="000A7FE8">
        <w:rPr>
          <w:sz w:val="22"/>
          <w:szCs w:val="22"/>
        </w:rPr>
        <w:t xml:space="preserve"> (H3K4me3) </w:t>
      </w:r>
      <w:r w:rsidR="004112F6" w:rsidRPr="000A7FE8">
        <w:rPr>
          <w:rFonts w:hint="eastAsia"/>
          <w:sz w:val="22"/>
          <w:szCs w:val="22"/>
        </w:rPr>
        <w:t>今度は転写が活性化され（Pol II にエンジン･アクセルがかかり）、遺伝情報から機能性タンパクが作られると認識されています。私たちの全ての細胞はこのエピゲノム調節</w:t>
      </w:r>
      <w:r w:rsidR="008E6058">
        <w:rPr>
          <w:rFonts w:hint="eastAsia"/>
          <w:sz w:val="22"/>
          <w:szCs w:val="22"/>
        </w:rPr>
        <w:t>（ヒストンコードの読み取り）</w:t>
      </w:r>
      <w:r w:rsidR="004112F6" w:rsidRPr="000A7FE8">
        <w:rPr>
          <w:rFonts w:hint="eastAsia"/>
          <w:sz w:val="22"/>
          <w:szCs w:val="22"/>
        </w:rPr>
        <w:t>によって正常に分化し、増殖し、生きている</w:t>
      </w:r>
      <w:r w:rsidR="005D737B" w:rsidRPr="000A7FE8">
        <w:rPr>
          <w:rFonts w:hint="eastAsia"/>
          <w:sz w:val="22"/>
          <w:szCs w:val="22"/>
        </w:rPr>
        <w:t>と考えられます。この転写のアクセルとブレーキのバランスは細胞のいる微小環境によって適切に調節されます。特に</w:t>
      </w:r>
      <w:r w:rsidR="00293A57" w:rsidRPr="000A7FE8">
        <w:rPr>
          <w:rFonts w:hint="eastAsia"/>
          <w:sz w:val="22"/>
          <w:szCs w:val="22"/>
        </w:rPr>
        <w:t>一番最初に</w:t>
      </w:r>
      <w:r w:rsidR="005D737B" w:rsidRPr="000A7FE8">
        <w:rPr>
          <w:rFonts w:hint="eastAsia"/>
          <w:sz w:val="22"/>
          <w:szCs w:val="22"/>
        </w:rPr>
        <w:t>ES や</w:t>
      </w:r>
      <w:r w:rsidR="005D737B" w:rsidRPr="000A7FE8">
        <w:rPr>
          <w:sz w:val="22"/>
          <w:szCs w:val="22"/>
        </w:rPr>
        <w:t xml:space="preserve">iPS </w:t>
      </w:r>
      <w:r w:rsidR="005D737B" w:rsidRPr="000A7FE8">
        <w:rPr>
          <w:rFonts w:hint="eastAsia"/>
          <w:sz w:val="22"/>
          <w:szCs w:val="22"/>
        </w:rPr>
        <w:t>細胞</w:t>
      </w:r>
      <w:r w:rsidR="00293A57" w:rsidRPr="000A7FE8">
        <w:rPr>
          <w:rFonts w:hint="eastAsia"/>
          <w:sz w:val="22"/>
          <w:szCs w:val="22"/>
        </w:rPr>
        <w:t>（未分化幹細胞）</w:t>
      </w:r>
      <w:r w:rsidR="005D737B" w:rsidRPr="000A7FE8">
        <w:rPr>
          <w:rFonts w:hint="eastAsia"/>
          <w:sz w:val="22"/>
          <w:szCs w:val="22"/>
        </w:rPr>
        <w:t>が分化するとき</w:t>
      </w:r>
      <w:r w:rsidR="00293A57" w:rsidRPr="000A7FE8">
        <w:rPr>
          <w:rFonts w:hint="eastAsia"/>
          <w:sz w:val="22"/>
          <w:szCs w:val="22"/>
        </w:rPr>
        <w:t>（個体発生の源）</w:t>
      </w:r>
      <w:r w:rsidR="005D737B" w:rsidRPr="000A7FE8">
        <w:rPr>
          <w:rFonts w:hint="eastAsia"/>
          <w:sz w:val="22"/>
          <w:szCs w:val="22"/>
        </w:rPr>
        <w:t>には、それを担うタンパクを転写して誘導する司令塔因子（転写因子）</w:t>
      </w:r>
      <w:r w:rsidR="00293A57" w:rsidRPr="000A7FE8">
        <w:rPr>
          <w:rFonts w:hint="eastAsia"/>
          <w:sz w:val="22"/>
          <w:szCs w:val="22"/>
        </w:rPr>
        <w:t>山中４因子なども</w:t>
      </w:r>
      <w:r w:rsidR="005D737B" w:rsidRPr="000A7FE8">
        <w:rPr>
          <w:rFonts w:hint="eastAsia"/>
          <w:sz w:val="22"/>
          <w:szCs w:val="22"/>
        </w:rPr>
        <w:t>アクセルとブレーキ</w:t>
      </w:r>
      <w:r w:rsidR="00293A57" w:rsidRPr="000A7FE8">
        <w:rPr>
          <w:rFonts w:hint="eastAsia"/>
          <w:sz w:val="22"/>
          <w:szCs w:val="22"/>
        </w:rPr>
        <w:t>の共存</w:t>
      </w:r>
      <w:r w:rsidR="00293A57" w:rsidRPr="000A7FE8">
        <w:rPr>
          <w:sz w:val="22"/>
          <w:szCs w:val="22"/>
        </w:rPr>
        <w:t>(Bivalent</w:t>
      </w:r>
      <w:r w:rsidR="00293A57" w:rsidRPr="000A7FE8">
        <w:rPr>
          <w:rFonts w:hint="eastAsia"/>
          <w:sz w:val="22"/>
          <w:szCs w:val="22"/>
        </w:rPr>
        <w:t>)状態を経て、正常に調節されます。特にこの調節はダイナミックに</w:t>
      </w:r>
      <w:r w:rsidR="00E51FD9" w:rsidRPr="000A7FE8">
        <w:rPr>
          <w:rFonts w:hint="eastAsia"/>
          <w:sz w:val="22"/>
          <w:szCs w:val="22"/>
        </w:rPr>
        <w:t>おこるので、時間分解能をあげて詳細に調べられてきました。</w:t>
      </w:r>
    </w:p>
    <w:p w14:paraId="0BD60E5E" w14:textId="2238C476" w:rsidR="001B68E0" w:rsidRPr="000A7FE8" w:rsidRDefault="00E51FD9">
      <w:pPr>
        <w:rPr>
          <w:sz w:val="22"/>
          <w:szCs w:val="22"/>
        </w:rPr>
      </w:pPr>
      <w:r w:rsidRPr="000A7FE8">
        <w:rPr>
          <w:rFonts w:hint="eastAsia"/>
          <w:sz w:val="22"/>
          <w:szCs w:val="22"/>
        </w:rPr>
        <w:t>さて、私たちはこのヒストンの動きが</w:t>
      </w:r>
      <w:r w:rsidR="009129A4" w:rsidRPr="000A7FE8">
        <w:rPr>
          <w:rFonts w:hint="eastAsia"/>
          <w:sz w:val="22"/>
          <w:szCs w:val="22"/>
        </w:rPr>
        <w:t>血管</w:t>
      </w:r>
      <w:r w:rsidRPr="000A7FE8">
        <w:rPr>
          <w:rFonts w:hint="eastAsia"/>
          <w:sz w:val="22"/>
          <w:szCs w:val="22"/>
        </w:rPr>
        <w:t>内皮細胞が増殖するときにどうなるか、</w:t>
      </w:r>
      <w:r w:rsidR="009129A4" w:rsidRPr="000A7FE8">
        <w:rPr>
          <w:rFonts w:hint="eastAsia"/>
          <w:sz w:val="22"/>
          <w:szCs w:val="22"/>
        </w:rPr>
        <w:t>内皮細胞増殖因子</w:t>
      </w:r>
      <w:r w:rsidR="009129A4" w:rsidRPr="000A7FE8">
        <w:rPr>
          <w:sz w:val="22"/>
          <w:szCs w:val="22"/>
        </w:rPr>
        <w:t xml:space="preserve"> (VEGF) </w:t>
      </w:r>
      <w:r w:rsidR="009129A4" w:rsidRPr="000A7FE8">
        <w:rPr>
          <w:rFonts w:hint="eastAsia"/>
          <w:sz w:val="22"/>
          <w:szCs w:val="22"/>
        </w:rPr>
        <w:t>を入れて、</w:t>
      </w:r>
      <w:r w:rsidRPr="000A7FE8">
        <w:rPr>
          <w:rFonts w:hint="eastAsia"/>
          <w:sz w:val="22"/>
          <w:szCs w:val="22"/>
        </w:rPr>
        <w:t>時間を追って、詳細に特に、H3K4</w:t>
      </w:r>
      <w:r w:rsidRPr="000A7FE8">
        <w:rPr>
          <w:sz w:val="22"/>
          <w:szCs w:val="22"/>
        </w:rPr>
        <w:t>me3, H3K27me3, H2</w:t>
      </w:r>
      <w:r w:rsidRPr="000A7FE8">
        <w:rPr>
          <w:rFonts w:hint="eastAsia"/>
          <w:sz w:val="22"/>
          <w:szCs w:val="22"/>
        </w:rPr>
        <w:t>A</w:t>
      </w:r>
      <w:r w:rsidRPr="000A7FE8">
        <w:rPr>
          <w:sz w:val="22"/>
          <w:szCs w:val="22"/>
        </w:rPr>
        <w:t xml:space="preserve">K119Ub, Pol II </w:t>
      </w:r>
      <w:r w:rsidRPr="000A7FE8">
        <w:rPr>
          <w:rFonts w:hint="eastAsia"/>
          <w:sz w:val="22"/>
          <w:szCs w:val="22"/>
        </w:rPr>
        <w:t>などの抗体を用いてそのヒストン修飾が全ゲノムのどこにどのタイミングに起こっているかをデータベース化してみました</w:t>
      </w:r>
      <w:r w:rsidRPr="000A7FE8">
        <w:rPr>
          <w:sz w:val="22"/>
          <w:szCs w:val="22"/>
        </w:rPr>
        <w:t xml:space="preserve"> (ChIP-seq </w:t>
      </w:r>
      <w:r w:rsidRPr="000A7FE8">
        <w:rPr>
          <w:rFonts w:hint="eastAsia"/>
          <w:sz w:val="22"/>
          <w:szCs w:val="22"/>
        </w:rPr>
        <w:t>解析)。その結果、</w:t>
      </w:r>
      <w:r w:rsidR="009129A4" w:rsidRPr="000A7FE8">
        <w:rPr>
          <w:rFonts w:hint="eastAsia"/>
          <w:sz w:val="22"/>
          <w:szCs w:val="22"/>
        </w:rPr>
        <w:t>未分化幹細胞の分化スイッチに使われる転写因子群とは異なり、完全に分化した内皮細胞では増殖に関わる一番最初に必要なタンパクの誘導を急いで担う</w:t>
      </w:r>
      <w:r w:rsidR="009129A4" w:rsidRPr="000A7FE8">
        <w:rPr>
          <w:rFonts w:hint="eastAsia"/>
          <w:sz w:val="22"/>
          <w:szCs w:val="22"/>
          <w:u w:val="single"/>
        </w:rPr>
        <w:t>即時型（急性期応答）転写因子群（Early growth response （</w:t>
      </w:r>
      <w:r w:rsidR="009129A4" w:rsidRPr="000A7FE8">
        <w:rPr>
          <w:sz w:val="22"/>
          <w:szCs w:val="22"/>
          <w:u w:val="single"/>
        </w:rPr>
        <w:t>Egr）</w:t>
      </w:r>
      <w:r w:rsidR="009129A4" w:rsidRPr="000A7FE8">
        <w:rPr>
          <w:rFonts w:hint="eastAsia"/>
          <w:sz w:val="22"/>
          <w:szCs w:val="22"/>
          <w:u w:val="single"/>
        </w:rPr>
        <w:t xml:space="preserve"> などが有名です））に限って</w:t>
      </w:r>
      <w:r w:rsidR="001B68E0" w:rsidRPr="000A7FE8">
        <w:rPr>
          <w:rFonts w:hint="eastAsia"/>
          <w:sz w:val="22"/>
          <w:szCs w:val="22"/>
        </w:rPr>
        <w:t>上述したヒストン</w:t>
      </w:r>
      <w:r w:rsidR="008E6058">
        <w:rPr>
          <w:rFonts w:hint="eastAsia"/>
          <w:sz w:val="22"/>
          <w:szCs w:val="22"/>
        </w:rPr>
        <w:t>が</w:t>
      </w:r>
      <w:r w:rsidR="008E6058">
        <w:rPr>
          <w:sz w:val="22"/>
          <w:szCs w:val="22"/>
        </w:rPr>
        <w:t xml:space="preserve"> </w:t>
      </w:r>
      <w:r w:rsidR="001B68E0" w:rsidRPr="000A7FE8">
        <w:rPr>
          <w:sz w:val="22"/>
          <w:szCs w:val="22"/>
        </w:rPr>
        <w:t xml:space="preserve">bivalent </w:t>
      </w:r>
      <w:r w:rsidR="001B68E0" w:rsidRPr="000A7FE8">
        <w:rPr>
          <w:rFonts w:hint="eastAsia"/>
          <w:sz w:val="22"/>
          <w:szCs w:val="22"/>
        </w:rPr>
        <w:t>状態になっていることに気づきました。</w:t>
      </w:r>
    </w:p>
    <w:p w14:paraId="72A679DB" w14:textId="3AEC0DE5" w:rsidR="00381B06" w:rsidRPr="000A7FE8" w:rsidRDefault="001B68E0">
      <w:pPr>
        <w:rPr>
          <w:sz w:val="22"/>
          <w:szCs w:val="22"/>
        </w:rPr>
      </w:pPr>
      <w:r w:rsidRPr="000A7FE8">
        <w:rPr>
          <w:rFonts w:hint="eastAsia"/>
          <w:sz w:val="22"/>
          <w:szCs w:val="22"/>
        </w:rPr>
        <w:lastRenderedPageBreak/>
        <w:t>即時型転写因子はパッと誘導されて、すぐに誘導が終息されないと、過剰な増殖までも誘導し、</w:t>
      </w:r>
      <w:r w:rsidR="00381B06" w:rsidRPr="000A7FE8">
        <w:rPr>
          <w:rFonts w:hint="eastAsia"/>
          <w:sz w:val="22"/>
          <w:szCs w:val="22"/>
        </w:rPr>
        <w:t>細胞が</w:t>
      </w:r>
      <w:r w:rsidRPr="000A7FE8">
        <w:rPr>
          <w:rFonts w:hint="eastAsia"/>
          <w:sz w:val="22"/>
          <w:szCs w:val="22"/>
        </w:rPr>
        <w:t>がんになったり、</w:t>
      </w:r>
      <w:r w:rsidR="00381B06" w:rsidRPr="000A7FE8">
        <w:rPr>
          <w:rFonts w:hint="eastAsia"/>
          <w:sz w:val="22"/>
          <w:szCs w:val="22"/>
        </w:rPr>
        <w:t>変</w:t>
      </w:r>
      <w:r w:rsidR="008E6058">
        <w:rPr>
          <w:rFonts w:hint="eastAsia"/>
          <w:sz w:val="22"/>
          <w:szCs w:val="22"/>
        </w:rPr>
        <w:t>になって</w:t>
      </w:r>
      <w:r w:rsidRPr="000A7FE8">
        <w:rPr>
          <w:rFonts w:hint="eastAsia"/>
          <w:sz w:val="22"/>
          <w:szCs w:val="22"/>
        </w:rPr>
        <w:t>自分で死んだり（アポトーシス）し</w:t>
      </w:r>
      <w:r w:rsidR="00381B06" w:rsidRPr="000A7FE8">
        <w:rPr>
          <w:rFonts w:hint="eastAsia"/>
          <w:sz w:val="22"/>
          <w:szCs w:val="22"/>
        </w:rPr>
        <w:t>ます。</w:t>
      </w:r>
      <w:r w:rsidR="008E6058">
        <w:rPr>
          <w:rFonts w:hint="eastAsia"/>
          <w:sz w:val="22"/>
          <w:szCs w:val="22"/>
        </w:rPr>
        <w:t>我々の</w:t>
      </w:r>
      <w:r w:rsidR="00381B06" w:rsidRPr="000A7FE8">
        <w:rPr>
          <w:rFonts w:hint="eastAsia"/>
          <w:sz w:val="22"/>
          <w:szCs w:val="22"/>
        </w:rPr>
        <w:t>ヒストンデータベースではこれら即時型転写因子群は増殖刺激を受けるまでは常にブレーキ</w:t>
      </w:r>
      <w:r w:rsidR="00381B06" w:rsidRPr="000A7FE8">
        <w:rPr>
          <w:sz w:val="22"/>
          <w:szCs w:val="22"/>
        </w:rPr>
        <w:t xml:space="preserve"> (</w:t>
      </w:r>
      <w:r w:rsidR="000C29D6" w:rsidRPr="000A7FE8">
        <w:rPr>
          <w:rFonts w:hint="eastAsia"/>
          <w:sz w:val="22"/>
          <w:szCs w:val="22"/>
        </w:rPr>
        <w:t>PRC2 による</w:t>
      </w:r>
      <w:r w:rsidR="00381B06" w:rsidRPr="000A7FE8">
        <w:rPr>
          <w:sz w:val="22"/>
          <w:szCs w:val="22"/>
        </w:rPr>
        <w:t xml:space="preserve">H3K27me3) </w:t>
      </w:r>
      <w:r w:rsidR="00381B06" w:rsidRPr="000A7FE8">
        <w:rPr>
          <w:rFonts w:hint="eastAsia"/>
          <w:sz w:val="22"/>
          <w:szCs w:val="22"/>
        </w:rPr>
        <w:t>がかかっており、刺激１５分後で今度はアクセル（</w:t>
      </w:r>
      <w:r w:rsidR="000C29D6" w:rsidRPr="000A7FE8">
        <w:rPr>
          <w:rFonts w:hint="eastAsia"/>
          <w:sz w:val="22"/>
          <w:szCs w:val="22"/>
        </w:rPr>
        <w:t>MLL3/4-PTIP による</w:t>
      </w:r>
      <w:r w:rsidR="00381B06" w:rsidRPr="000A7FE8">
        <w:rPr>
          <w:rFonts w:hint="eastAsia"/>
          <w:sz w:val="22"/>
          <w:szCs w:val="22"/>
        </w:rPr>
        <w:t>H3K4</w:t>
      </w:r>
      <w:r w:rsidR="00381B06" w:rsidRPr="000A7FE8">
        <w:rPr>
          <w:sz w:val="22"/>
          <w:szCs w:val="22"/>
        </w:rPr>
        <w:t>me3）</w:t>
      </w:r>
      <w:r w:rsidR="00381B06" w:rsidRPr="000A7FE8">
        <w:rPr>
          <w:rFonts w:hint="eastAsia"/>
          <w:sz w:val="22"/>
          <w:szCs w:val="22"/>
        </w:rPr>
        <w:t>も同時にかかってきて、</w:t>
      </w:r>
      <w:r w:rsidR="000C29D6" w:rsidRPr="000A7FE8">
        <w:rPr>
          <w:rFonts w:hint="eastAsia"/>
          <w:sz w:val="22"/>
          <w:szCs w:val="22"/>
        </w:rPr>
        <w:t>丁度転写の本体である</w:t>
      </w:r>
      <w:r w:rsidR="000C29D6" w:rsidRPr="000A7FE8">
        <w:rPr>
          <w:sz w:val="22"/>
          <w:szCs w:val="22"/>
        </w:rPr>
        <w:t xml:space="preserve"> Pol II </w:t>
      </w:r>
      <w:r w:rsidR="000C29D6" w:rsidRPr="000A7FE8">
        <w:rPr>
          <w:rFonts w:hint="eastAsia"/>
          <w:sz w:val="22"/>
          <w:szCs w:val="22"/>
        </w:rPr>
        <w:t>がこのタイミングでだけこれらのゲノムにやってきていました。一方刺激が６０分もたつと、今度は強いブレーキ</w:t>
      </w:r>
      <w:r w:rsidR="000C29D6" w:rsidRPr="000A7FE8">
        <w:rPr>
          <w:sz w:val="22"/>
          <w:szCs w:val="22"/>
        </w:rPr>
        <w:t xml:space="preserve"> (canonical PRC1 </w:t>
      </w:r>
      <w:r w:rsidR="000C29D6" w:rsidRPr="000A7FE8">
        <w:rPr>
          <w:rFonts w:hint="eastAsia"/>
          <w:sz w:val="22"/>
          <w:szCs w:val="22"/>
        </w:rPr>
        <w:t>による</w:t>
      </w:r>
      <w:r w:rsidR="000C29D6" w:rsidRPr="000A7FE8">
        <w:rPr>
          <w:sz w:val="22"/>
          <w:szCs w:val="22"/>
        </w:rPr>
        <w:t xml:space="preserve">H2AK119Ub) </w:t>
      </w:r>
      <w:r w:rsidR="000C29D6" w:rsidRPr="000A7FE8">
        <w:rPr>
          <w:rFonts w:hint="eastAsia"/>
          <w:sz w:val="22"/>
          <w:szCs w:val="22"/>
        </w:rPr>
        <w:t>がかけられて、強烈に抑制されます。この動きはこれら即時型転写因子群がどのようにして刺激に応答し、</w:t>
      </w:r>
      <w:r w:rsidR="00C86E8C" w:rsidRPr="000A7FE8">
        <w:rPr>
          <w:rFonts w:hint="eastAsia"/>
          <w:sz w:val="22"/>
          <w:szCs w:val="22"/>
        </w:rPr>
        <w:t>適切に増殖をコントロールするのかを如実に反映するものでした。</w:t>
      </w:r>
    </w:p>
    <w:p w14:paraId="1E6AAC6C" w14:textId="0CDDDD4A" w:rsidR="00C86E8C" w:rsidRPr="000A7FE8" w:rsidRDefault="00C86E8C">
      <w:pPr>
        <w:rPr>
          <w:sz w:val="22"/>
          <w:szCs w:val="22"/>
        </w:rPr>
      </w:pPr>
      <w:r w:rsidRPr="000A7FE8">
        <w:rPr>
          <w:rFonts w:hint="eastAsia"/>
          <w:sz w:val="22"/>
          <w:szCs w:val="22"/>
        </w:rPr>
        <w:t>しかしここで大きな壁にぶつかりました。PRC2 によってブレーキがかかっているのに、アクセルが同時にきても転写されるということが本当にありえるのか</w:t>
      </w:r>
      <w:r w:rsidR="00E057AB" w:rsidRPr="000A7FE8">
        <w:rPr>
          <w:rFonts w:hint="eastAsia"/>
          <w:sz w:val="22"/>
          <w:szCs w:val="22"/>
        </w:rPr>
        <w:t>？</w:t>
      </w:r>
      <w:r w:rsidRPr="000A7FE8">
        <w:rPr>
          <w:rFonts w:hint="eastAsia"/>
          <w:sz w:val="22"/>
          <w:szCs w:val="22"/>
        </w:rPr>
        <w:t>（解明に5年</w:t>
      </w:r>
      <w:r w:rsidR="00E057AB" w:rsidRPr="000A7FE8">
        <w:rPr>
          <w:rFonts w:hint="eastAsia"/>
          <w:sz w:val="22"/>
          <w:szCs w:val="22"/>
        </w:rPr>
        <w:t>以上</w:t>
      </w:r>
      <w:r w:rsidRPr="000A7FE8">
        <w:rPr>
          <w:rFonts w:hint="eastAsia"/>
          <w:sz w:val="22"/>
          <w:szCs w:val="22"/>
        </w:rPr>
        <w:t>かかりました）。既存の</w:t>
      </w:r>
      <w:r w:rsidRPr="000A7FE8">
        <w:rPr>
          <w:sz w:val="22"/>
          <w:szCs w:val="22"/>
        </w:rPr>
        <w:t xml:space="preserve"> ES/iPS </w:t>
      </w:r>
      <w:r w:rsidRPr="000A7FE8">
        <w:rPr>
          <w:rFonts w:hint="eastAsia"/>
          <w:sz w:val="22"/>
          <w:szCs w:val="22"/>
        </w:rPr>
        <w:t>細胞の分化スイッチでは刺激48時間くらいのタイムスパンで山中4因子はアクセルからブレーキに、</w:t>
      </w:r>
      <w:r w:rsidRPr="000A7FE8">
        <w:rPr>
          <w:sz w:val="22"/>
          <w:szCs w:val="22"/>
        </w:rPr>
        <w:t xml:space="preserve">GATA2,ETV2 </w:t>
      </w:r>
      <w:r w:rsidRPr="000A7FE8">
        <w:rPr>
          <w:rFonts w:hint="eastAsia"/>
          <w:sz w:val="22"/>
          <w:szCs w:val="22"/>
        </w:rPr>
        <w:t>などの血管内皮分化誘導転写因子はブレーキからアクセルにスイッチすることで</w:t>
      </w:r>
      <w:r w:rsidR="00E057AB" w:rsidRPr="000A7FE8">
        <w:rPr>
          <w:rFonts w:hint="eastAsia"/>
          <w:sz w:val="22"/>
          <w:szCs w:val="22"/>
        </w:rPr>
        <w:t>コントロールされています</w:t>
      </w:r>
      <w:r w:rsidR="00E057AB" w:rsidRPr="000A7FE8">
        <w:rPr>
          <w:sz w:val="22"/>
          <w:szCs w:val="22"/>
        </w:rPr>
        <w:t xml:space="preserve"> (Minami, et.al. </w:t>
      </w:r>
      <w:r w:rsidR="00E057AB" w:rsidRPr="000A7FE8">
        <w:rPr>
          <w:rFonts w:hint="eastAsia"/>
          <w:sz w:val="22"/>
          <w:szCs w:val="22"/>
        </w:rPr>
        <w:t>過去報告)。しかし、終末分化した内皮細胞の増殖スイッチでは、H3K27</w:t>
      </w:r>
      <w:r w:rsidR="00E057AB" w:rsidRPr="000A7FE8">
        <w:rPr>
          <w:sz w:val="22"/>
          <w:szCs w:val="22"/>
        </w:rPr>
        <w:t>me3</w:t>
      </w:r>
      <w:r w:rsidR="00E057AB" w:rsidRPr="000A7FE8">
        <w:rPr>
          <w:rFonts w:hint="eastAsia"/>
          <w:sz w:val="22"/>
          <w:szCs w:val="22"/>
        </w:rPr>
        <w:t>ブレーキが残っていながらもH</w:t>
      </w:r>
      <w:r w:rsidR="00E057AB" w:rsidRPr="000A7FE8">
        <w:rPr>
          <w:sz w:val="22"/>
          <w:szCs w:val="22"/>
        </w:rPr>
        <w:t xml:space="preserve">3K4me3 </w:t>
      </w:r>
      <w:r w:rsidR="00E057AB" w:rsidRPr="000A7FE8">
        <w:rPr>
          <w:rFonts w:hint="eastAsia"/>
          <w:sz w:val="22"/>
          <w:szCs w:val="22"/>
        </w:rPr>
        <w:t>アクセルがこれに同時にのっかかるというヒストンマークが生じています。</w:t>
      </w:r>
      <w:r w:rsidR="00712E89" w:rsidRPr="000A7FE8">
        <w:rPr>
          <w:rFonts w:hint="eastAsia"/>
          <w:sz w:val="22"/>
          <w:szCs w:val="22"/>
        </w:rPr>
        <w:t>H</w:t>
      </w:r>
      <w:r w:rsidR="00712E89" w:rsidRPr="000A7FE8">
        <w:rPr>
          <w:sz w:val="22"/>
          <w:szCs w:val="22"/>
        </w:rPr>
        <w:t xml:space="preserve">3K27me3 </w:t>
      </w:r>
      <w:r w:rsidR="00712E89" w:rsidRPr="000A7FE8">
        <w:rPr>
          <w:rFonts w:hint="eastAsia"/>
          <w:sz w:val="22"/>
          <w:szCs w:val="22"/>
        </w:rPr>
        <w:t>の既定概念と合いません。</w:t>
      </w:r>
    </w:p>
    <w:p w14:paraId="176D9513" w14:textId="39AD816A" w:rsidR="00712E89" w:rsidRPr="000A7FE8" w:rsidRDefault="00712E89">
      <w:pPr>
        <w:rPr>
          <w:sz w:val="22"/>
          <w:szCs w:val="22"/>
        </w:rPr>
      </w:pPr>
      <w:r w:rsidRPr="000A7FE8">
        <w:rPr>
          <w:rFonts w:hint="eastAsia"/>
          <w:sz w:val="22"/>
          <w:szCs w:val="22"/>
        </w:rPr>
        <w:t>そこで、最近見出された</w:t>
      </w:r>
      <w:r w:rsidRPr="000A7FE8">
        <w:rPr>
          <w:sz w:val="22"/>
          <w:szCs w:val="22"/>
        </w:rPr>
        <w:t xml:space="preserve"> non-canonical PRC1 </w:t>
      </w:r>
      <w:r w:rsidRPr="000A7FE8">
        <w:rPr>
          <w:rFonts w:hint="eastAsia"/>
          <w:sz w:val="22"/>
          <w:szCs w:val="22"/>
        </w:rPr>
        <w:t>の存在を考えてみました。これは、PRC2 修飾の前にクロマチン</w:t>
      </w:r>
      <w:r w:rsidR="00485224" w:rsidRPr="000A7FE8">
        <w:rPr>
          <w:rFonts w:hint="eastAsia"/>
          <w:sz w:val="22"/>
          <w:szCs w:val="22"/>
        </w:rPr>
        <w:t>上</w:t>
      </w:r>
      <w:r w:rsidRPr="000A7FE8">
        <w:rPr>
          <w:rFonts w:hint="eastAsia"/>
          <w:sz w:val="22"/>
          <w:szCs w:val="22"/>
        </w:rPr>
        <w:t>にやってきて、最後は</w:t>
      </w:r>
      <w:r w:rsidR="00485224" w:rsidRPr="000A7FE8">
        <w:rPr>
          <w:sz w:val="22"/>
          <w:szCs w:val="22"/>
        </w:rPr>
        <w:t xml:space="preserve"> </w:t>
      </w:r>
      <w:r w:rsidRPr="000A7FE8">
        <w:rPr>
          <w:sz w:val="22"/>
          <w:szCs w:val="22"/>
        </w:rPr>
        <w:t xml:space="preserve">canonical-PRC1 </w:t>
      </w:r>
      <w:r w:rsidRPr="000A7FE8">
        <w:rPr>
          <w:rFonts w:hint="eastAsia"/>
          <w:sz w:val="22"/>
          <w:szCs w:val="22"/>
        </w:rPr>
        <w:t>に引き継がれると考えられています。即ち、</w:t>
      </w:r>
      <w:r w:rsidRPr="000A7FE8">
        <w:rPr>
          <w:sz w:val="22"/>
          <w:szCs w:val="22"/>
        </w:rPr>
        <w:t xml:space="preserve">noncanonical PRC1-PRC2-canonical PRC1 </w:t>
      </w:r>
      <w:r w:rsidRPr="000A7FE8">
        <w:rPr>
          <w:rFonts w:hint="eastAsia"/>
          <w:sz w:val="22"/>
          <w:szCs w:val="22"/>
        </w:rPr>
        <w:t>の順番</w:t>
      </w:r>
      <w:r w:rsidR="00B949A0">
        <w:rPr>
          <w:rFonts w:hint="eastAsia"/>
          <w:sz w:val="22"/>
          <w:szCs w:val="22"/>
        </w:rPr>
        <w:t>で</w:t>
      </w:r>
      <w:r w:rsidR="00485224" w:rsidRPr="000A7FE8">
        <w:rPr>
          <w:rFonts w:hint="eastAsia"/>
          <w:sz w:val="22"/>
          <w:szCs w:val="22"/>
        </w:rPr>
        <w:t>内皮即時型転写因子群のゲノム領域にはやってきて</w:t>
      </w:r>
      <w:r w:rsidRPr="000A7FE8">
        <w:rPr>
          <w:rFonts w:hint="eastAsia"/>
          <w:sz w:val="22"/>
          <w:szCs w:val="22"/>
        </w:rPr>
        <w:t>いるのではないかと思いました。更に</w:t>
      </w:r>
      <w:r w:rsidRPr="000A7FE8">
        <w:rPr>
          <w:sz w:val="22"/>
          <w:szCs w:val="22"/>
        </w:rPr>
        <w:t xml:space="preserve">non-canonical PRC1 </w:t>
      </w:r>
      <w:r w:rsidRPr="000A7FE8">
        <w:rPr>
          <w:rFonts w:hint="eastAsia"/>
          <w:sz w:val="22"/>
          <w:szCs w:val="22"/>
        </w:rPr>
        <w:t>は大部分</w:t>
      </w:r>
      <w:r w:rsidRPr="000A7FE8">
        <w:rPr>
          <w:sz w:val="22"/>
          <w:szCs w:val="22"/>
        </w:rPr>
        <w:t xml:space="preserve">canonical PRC1 </w:t>
      </w:r>
      <w:r w:rsidRPr="000A7FE8">
        <w:rPr>
          <w:rFonts w:hint="eastAsia"/>
          <w:sz w:val="22"/>
          <w:szCs w:val="22"/>
        </w:rPr>
        <w:t>と構成タンパクを共有しつつも、</w:t>
      </w:r>
      <w:r w:rsidR="00485224" w:rsidRPr="000A7FE8">
        <w:rPr>
          <w:rFonts w:hint="eastAsia"/>
          <w:sz w:val="22"/>
          <w:szCs w:val="22"/>
        </w:rPr>
        <w:t>場合によって</w:t>
      </w:r>
      <w:r w:rsidR="00485224" w:rsidRPr="000A7FE8">
        <w:rPr>
          <w:sz w:val="22"/>
          <w:szCs w:val="22"/>
        </w:rPr>
        <w:t>PRC1</w:t>
      </w:r>
      <w:r w:rsidR="00485224" w:rsidRPr="000A7FE8">
        <w:rPr>
          <w:rFonts w:hint="eastAsia"/>
          <w:sz w:val="22"/>
          <w:szCs w:val="22"/>
        </w:rPr>
        <w:t>と逆の機能即ち転写アクセル機能を発揮します（PRC1 のジョーカー</w:t>
      </w:r>
      <w:r w:rsidR="00485224" w:rsidRPr="000A7FE8">
        <w:rPr>
          <w:sz w:val="22"/>
          <w:szCs w:val="22"/>
        </w:rPr>
        <w:t>card</w:t>
      </w:r>
      <w:r w:rsidR="00485224" w:rsidRPr="000A7FE8">
        <w:rPr>
          <w:rFonts w:hint="eastAsia"/>
          <w:sz w:val="22"/>
          <w:szCs w:val="22"/>
        </w:rPr>
        <w:t>、嘘つき</w:t>
      </w:r>
      <w:r w:rsidR="00485224" w:rsidRPr="000A7FE8">
        <w:rPr>
          <w:sz w:val="22"/>
          <w:szCs w:val="22"/>
        </w:rPr>
        <w:t xml:space="preserve"> PRC1 </w:t>
      </w:r>
      <w:r w:rsidR="00485224" w:rsidRPr="000A7FE8">
        <w:rPr>
          <w:rFonts w:hint="eastAsia"/>
          <w:sz w:val="22"/>
          <w:szCs w:val="22"/>
        </w:rPr>
        <w:t>ともいえます）。実際</w:t>
      </w:r>
      <w:r w:rsidR="00485224" w:rsidRPr="000A7FE8">
        <w:rPr>
          <w:sz w:val="22"/>
          <w:szCs w:val="22"/>
        </w:rPr>
        <w:t xml:space="preserve"> PRC1 </w:t>
      </w:r>
      <w:r w:rsidR="00485224" w:rsidRPr="000A7FE8">
        <w:rPr>
          <w:rFonts w:hint="eastAsia"/>
          <w:sz w:val="22"/>
          <w:szCs w:val="22"/>
        </w:rPr>
        <w:t>機能を反映する</w:t>
      </w:r>
      <w:r w:rsidR="00485224" w:rsidRPr="000A7FE8">
        <w:rPr>
          <w:sz w:val="22"/>
          <w:szCs w:val="22"/>
        </w:rPr>
        <w:t xml:space="preserve"> H2A119Ub </w:t>
      </w:r>
      <w:r w:rsidR="00485224" w:rsidRPr="000A7FE8">
        <w:rPr>
          <w:rFonts w:hint="eastAsia"/>
          <w:sz w:val="22"/>
          <w:szCs w:val="22"/>
        </w:rPr>
        <w:t>の内皮即時型転写因子群のゲノム領域での濃縮度合いを見て</w:t>
      </w:r>
      <w:r w:rsidR="001C4EEF" w:rsidRPr="000A7FE8">
        <w:rPr>
          <w:rFonts w:hint="eastAsia"/>
          <w:sz w:val="22"/>
          <w:szCs w:val="22"/>
        </w:rPr>
        <w:t>みると、</w:t>
      </w:r>
      <w:r w:rsidR="001C4EEF" w:rsidRPr="000A7FE8">
        <w:rPr>
          <w:sz w:val="22"/>
          <w:szCs w:val="22"/>
        </w:rPr>
        <w:t xml:space="preserve">VEGF </w:t>
      </w:r>
      <w:r w:rsidR="001C4EEF" w:rsidRPr="000A7FE8">
        <w:rPr>
          <w:rFonts w:hint="eastAsia"/>
          <w:sz w:val="22"/>
          <w:szCs w:val="22"/>
        </w:rPr>
        <w:t>刺激0分、60分と高度に濃縮されているにも関わらず、</w:t>
      </w:r>
      <w:r w:rsidR="001C4EEF" w:rsidRPr="000A7FE8">
        <w:rPr>
          <w:sz w:val="22"/>
          <w:szCs w:val="22"/>
        </w:rPr>
        <w:t xml:space="preserve">VEGF </w:t>
      </w:r>
      <w:r w:rsidR="001C4EEF" w:rsidRPr="000A7FE8">
        <w:rPr>
          <w:rFonts w:hint="eastAsia"/>
          <w:sz w:val="22"/>
          <w:szCs w:val="22"/>
        </w:rPr>
        <w:t>刺激15分だけこの濃縮ブレーキがなくなっていました。丁度</w:t>
      </w:r>
      <w:r w:rsidR="001C4EEF" w:rsidRPr="000A7FE8">
        <w:rPr>
          <w:sz w:val="22"/>
          <w:szCs w:val="22"/>
        </w:rPr>
        <w:t xml:space="preserve"> Pol II </w:t>
      </w:r>
      <w:r w:rsidR="001C4EEF" w:rsidRPr="000A7FE8">
        <w:rPr>
          <w:rFonts w:hint="eastAsia"/>
          <w:sz w:val="22"/>
          <w:szCs w:val="22"/>
        </w:rPr>
        <w:t>がこれら内皮即時型転写因子群のゲノム領域の転写を行うタイミングだけです。</w:t>
      </w:r>
      <w:r w:rsidR="00B44B2C" w:rsidRPr="000A7FE8">
        <w:rPr>
          <w:rFonts w:hint="eastAsia"/>
          <w:sz w:val="22"/>
          <w:szCs w:val="22"/>
        </w:rPr>
        <w:t>また興味深いことに神経が伸長する場合</w:t>
      </w:r>
      <w:r w:rsidR="001C4EEF" w:rsidRPr="000A7FE8">
        <w:rPr>
          <w:rFonts w:hint="eastAsia"/>
          <w:sz w:val="22"/>
          <w:szCs w:val="22"/>
        </w:rPr>
        <w:t>では、</w:t>
      </w:r>
      <w:r w:rsidR="00B44B2C" w:rsidRPr="000A7FE8">
        <w:rPr>
          <w:sz w:val="22"/>
          <w:szCs w:val="22"/>
        </w:rPr>
        <w:t xml:space="preserve">non-canonical PRC1 </w:t>
      </w:r>
      <w:r w:rsidR="00B44B2C" w:rsidRPr="000A7FE8">
        <w:rPr>
          <w:rFonts w:hint="eastAsia"/>
          <w:sz w:val="22"/>
          <w:szCs w:val="22"/>
        </w:rPr>
        <w:t>のうち、コアタンパクが</w:t>
      </w:r>
      <w:r w:rsidR="00B44B2C" w:rsidRPr="000A7FE8">
        <w:rPr>
          <w:sz w:val="22"/>
          <w:szCs w:val="22"/>
        </w:rPr>
        <w:t xml:space="preserve"> PCGF5 </w:t>
      </w:r>
      <w:r w:rsidR="00B44B2C" w:rsidRPr="000A7FE8">
        <w:rPr>
          <w:rFonts w:hint="eastAsia"/>
          <w:sz w:val="22"/>
          <w:szCs w:val="22"/>
        </w:rPr>
        <w:t>で出来ている</w:t>
      </w:r>
      <w:r w:rsidR="00B44B2C" w:rsidRPr="000A7FE8">
        <w:rPr>
          <w:sz w:val="22"/>
          <w:szCs w:val="22"/>
        </w:rPr>
        <w:t xml:space="preserve"> PRC1.5 </w:t>
      </w:r>
      <w:r w:rsidR="00B44B2C" w:rsidRPr="000A7FE8">
        <w:rPr>
          <w:rFonts w:hint="eastAsia"/>
          <w:sz w:val="22"/>
          <w:szCs w:val="22"/>
        </w:rPr>
        <w:t>がこの逆説的な転写誘導を行うことが</w:t>
      </w:r>
      <w:r w:rsidR="00B44B2C" w:rsidRPr="000A7FE8">
        <w:rPr>
          <w:sz w:val="22"/>
          <w:szCs w:val="22"/>
        </w:rPr>
        <w:t xml:space="preserve"> Nature </w:t>
      </w:r>
      <w:r w:rsidR="00B44B2C" w:rsidRPr="000A7FE8">
        <w:rPr>
          <w:rFonts w:hint="eastAsia"/>
          <w:sz w:val="22"/>
          <w:szCs w:val="22"/>
        </w:rPr>
        <w:t>に報告されています。では内皮</w:t>
      </w:r>
      <w:r w:rsidR="00B949A0">
        <w:rPr>
          <w:rFonts w:hint="eastAsia"/>
          <w:sz w:val="22"/>
          <w:szCs w:val="22"/>
        </w:rPr>
        <w:t>細胞</w:t>
      </w:r>
      <w:r w:rsidR="00B44B2C" w:rsidRPr="000A7FE8">
        <w:rPr>
          <w:rFonts w:hint="eastAsia"/>
          <w:sz w:val="22"/>
          <w:szCs w:val="22"/>
        </w:rPr>
        <w:t>が伸長する血管新生における</w:t>
      </w:r>
      <w:r w:rsidR="00B44B2C" w:rsidRPr="000A7FE8">
        <w:rPr>
          <w:sz w:val="22"/>
          <w:szCs w:val="22"/>
        </w:rPr>
        <w:t xml:space="preserve">noncanonical PRC1 </w:t>
      </w:r>
      <w:r w:rsidR="00B44B2C" w:rsidRPr="000A7FE8">
        <w:rPr>
          <w:rFonts w:hint="eastAsia"/>
          <w:sz w:val="22"/>
          <w:szCs w:val="22"/>
        </w:rPr>
        <w:t>の実体は何なのか。</w:t>
      </w:r>
      <w:r w:rsidR="00B44B2C" w:rsidRPr="000A7FE8">
        <w:rPr>
          <w:sz w:val="22"/>
          <w:szCs w:val="22"/>
        </w:rPr>
        <w:t xml:space="preserve">siRNA </w:t>
      </w:r>
      <w:r w:rsidR="00B44B2C" w:rsidRPr="000A7FE8">
        <w:rPr>
          <w:rFonts w:hint="eastAsia"/>
          <w:sz w:val="22"/>
          <w:szCs w:val="22"/>
        </w:rPr>
        <w:t>を用いたスクリーニングを行ったところ、</w:t>
      </w:r>
      <w:r w:rsidR="00D63D69" w:rsidRPr="000A7FE8">
        <w:rPr>
          <w:sz w:val="22"/>
          <w:szCs w:val="22"/>
        </w:rPr>
        <w:t>pcgf</w:t>
      </w:r>
      <w:r w:rsidR="00B44B2C" w:rsidRPr="000A7FE8">
        <w:rPr>
          <w:sz w:val="22"/>
          <w:szCs w:val="22"/>
        </w:rPr>
        <w:t xml:space="preserve">5 </w:t>
      </w:r>
      <w:r w:rsidR="00B44B2C" w:rsidRPr="000A7FE8">
        <w:rPr>
          <w:rFonts w:hint="eastAsia"/>
          <w:sz w:val="22"/>
          <w:szCs w:val="22"/>
        </w:rPr>
        <w:t>ともっとも類似したファミリーであ</w:t>
      </w:r>
      <w:r w:rsidR="00D63D69" w:rsidRPr="000A7FE8">
        <w:rPr>
          <w:rFonts w:hint="eastAsia"/>
          <w:sz w:val="22"/>
          <w:szCs w:val="22"/>
        </w:rPr>
        <w:t xml:space="preserve">る </w:t>
      </w:r>
      <w:r w:rsidR="00D63D69" w:rsidRPr="000A7FE8">
        <w:rPr>
          <w:sz w:val="22"/>
          <w:szCs w:val="22"/>
        </w:rPr>
        <w:t xml:space="preserve">pcgf3 </w:t>
      </w:r>
      <w:r w:rsidR="00D63D69" w:rsidRPr="000A7FE8">
        <w:rPr>
          <w:rFonts w:hint="eastAsia"/>
          <w:sz w:val="22"/>
          <w:szCs w:val="22"/>
        </w:rPr>
        <w:t>から構成される</w:t>
      </w:r>
      <w:r w:rsidR="00D63D69" w:rsidRPr="000A7FE8">
        <w:rPr>
          <w:sz w:val="22"/>
          <w:szCs w:val="22"/>
        </w:rPr>
        <w:t xml:space="preserve"> PRC1.3 </w:t>
      </w:r>
      <w:r w:rsidR="00D63D69" w:rsidRPr="000A7FE8">
        <w:rPr>
          <w:rFonts w:hint="eastAsia"/>
          <w:sz w:val="22"/>
          <w:szCs w:val="22"/>
        </w:rPr>
        <w:t>がこ</w:t>
      </w:r>
      <w:r w:rsidR="00D63D69" w:rsidRPr="000A7FE8">
        <w:rPr>
          <w:rFonts w:hint="eastAsia"/>
          <w:sz w:val="22"/>
          <w:szCs w:val="22"/>
        </w:rPr>
        <w:lastRenderedPageBreak/>
        <w:t>の内皮細胞での即時型転写因子群のゲノム領域のブレーキを解除する役者であることが判明しました。（既存概念の打破）</w:t>
      </w:r>
    </w:p>
    <w:p w14:paraId="06930F3E" w14:textId="19C65997" w:rsidR="00D63D69" w:rsidRPr="000A7FE8" w:rsidRDefault="00D63D69">
      <w:pPr>
        <w:rPr>
          <w:sz w:val="22"/>
          <w:szCs w:val="22"/>
        </w:rPr>
      </w:pPr>
      <w:r w:rsidRPr="000A7FE8">
        <w:rPr>
          <w:rFonts w:hint="eastAsia"/>
          <w:sz w:val="22"/>
          <w:szCs w:val="22"/>
        </w:rPr>
        <w:t>さて、今度は</w:t>
      </w:r>
      <w:r w:rsidRPr="000A7FE8">
        <w:rPr>
          <w:sz w:val="22"/>
          <w:szCs w:val="22"/>
        </w:rPr>
        <w:t xml:space="preserve"> Pol II </w:t>
      </w:r>
      <w:r w:rsidRPr="000A7FE8">
        <w:rPr>
          <w:rFonts w:hint="eastAsia"/>
          <w:sz w:val="22"/>
          <w:szCs w:val="22"/>
        </w:rPr>
        <w:t>を呼び寄せるトリソラックスは何なのかという問題です。</w:t>
      </w:r>
      <w:r w:rsidRPr="000A7FE8">
        <w:rPr>
          <w:sz w:val="22"/>
          <w:szCs w:val="22"/>
        </w:rPr>
        <w:t xml:space="preserve"> PRC1.3 </w:t>
      </w:r>
      <w:r w:rsidRPr="000A7FE8">
        <w:rPr>
          <w:rFonts w:hint="eastAsia"/>
          <w:sz w:val="22"/>
          <w:szCs w:val="22"/>
        </w:rPr>
        <w:t>により、PRC2 のブレーキを解除してもアクセルがないと、転写（</w:t>
      </w:r>
      <w:r w:rsidRPr="000A7FE8">
        <w:rPr>
          <w:sz w:val="22"/>
          <w:szCs w:val="22"/>
        </w:rPr>
        <w:t xml:space="preserve">pol II </w:t>
      </w:r>
      <w:r w:rsidRPr="000A7FE8">
        <w:rPr>
          <w:rFonts w:hint="eastAsia"/>
          <w:sz w:val="22"/>
          <w:szCs w:val="22"/>
        </w:rPr>
        <w:t>によるエンジン）はかかりません。トリソラックス複合体のコアタンパクは</w:t>
      </w:r>
      <w:r w:rsidR="00EA053E" w:rsidRPr="000A7FE8">
        <w:rPr>
          <w:rFonts w:hint="eastAsia"/>
          <w:sz w:val="22"/>
          <w:szCs w:val="22"/>
        </w:rPr>
        <w:t>共通でこれがないと、細胞は増殖できないので、この複合体のアクセサリータンパクに着目してこれらの</w:t>
      </w:r>
      <w:r w:rsidR="00EA053E" w:rsidRPr="000A7FE8">
        <w:rPr>
          <w:sz w:val="22"/>
          <w:szCs w:val="22"/>
        </w:rPr>
        <w:t xml:space="preserve"> siRNA </w:t>
      </w:r>
      <w:r w:rsidR="00EA053E" w:rsidRPr="000A7FE8">
        <w:rPr>
          <w:rFonts w:hint="eastAsia"/>
          <w:sz w:val="22"/>
          <w:szCs w:val="22"/>
        </w:rPr>
        <w:t>ノックダウンスクリーニングを行いました。その結果トリソラックス複合体のうち</w:t>
      </w:r>
      <w:r w:rsidR="00EA053E" w:rsidRPr="000A7FE8">
        <w:rPr>
          <w:sz w:val="22"/>
          <w:szCs w:val="22"/>
        </w:rPr>
        <w:t xml:space="preserve"> MLL3/4 </w:t>
      </w:r>
      <w:r w:rsidR="00EA053E" w:rsidRPr="000A7FE8">
        <w:rPr>
          <w:rFonts w:hint="eastAsia"/>
          <w:sz w:val="22"/>
          <w:szCs w:val="22"/>
        </w:rPr>
        <w:t>のクロマチン修飾をガイダンスする</w:t>
      </w:r>
      <w:r w:rsidR="00EA053E" w:rsidRPr="000A7FE8">
        <w:rPr>
          <w:sz w:val="22"/>
          <w:szCs w:val="22"/>
        </w:rPr>
        <w:t xml:space="preserve"> PTIP </w:t>
      </w:r>
      <w:r w:rsidR="00EA053E" w:rsidRPr="000A7FE8">
        <w:rPr>
          <w:rFonts w:hint="eastAsia"/>
          <w:sz w:val="22"/>
          <w:szCs w:val="22"/>
        </w:rPr>
        <w:t>だけが、分化内皮での</w:t>
      </w:r>
      <w:r w:rsidR="00EA053E" w:rsidRPr="000A7FE8">
        <w:rPr>
          <w:sz w:val="22"/>
          <w:szCs w:val="22"/>
        </w:rPr>
        <w:t xml:space="preserve"> VEGF </w:t>
      </w:r>
      <w:r w:rsidR="00EA053E" w:rsidRPr="000A7FE8">
        <w:rPr>
          <w:rFonts w:hint="eastAsia"/>
          <w:sz w:val="22"/>
          <w:szCs w:val="22"/>
        </w:rPr>
        <w:t>刺激での増殖に関わっていることを見出しました。</w:t>
      </w:r>
    </w:p>
    <w:p w14:paraId="5280D2D0" w14:textId="3A34E00F" w:rsidR="003C73F8" w:rsidRPr="000A7FE8" w:rsidRDefault="00FC7B3D">
      <w:pPr>
        <w:rPr>
          <w:sz w:val="22"/>
          <w:szCs w:val="22"/>
        </w:rPr>
      </w:pPr>
      <w:r w:rsidRPr="000A7FE8">
        <w:rPr>
          <w:rFonts w:hint="eastAsia"/>
          <w:sz w:val="22"/>
          <w:szCs w:val="22"/>
        </w:rPr>
        <w:t>これまで私たちは</w:t>
      </w:r>
      <w:r w:rsidRPr="000A7FE8">
        <w:rPr>
          <w:sz w:val="22"/>
          <w:szCs w:val="22"/>
        </w:rPr>
        <w:t xml:space="preserve"> VEGF </w:t>
      </w:r>
      <w:r w:rsidRPr="000A7FE8">
        <w:rPr>
          <w:rFonts w:hint="eastAsia"/>
          <w:sz w:val="22"/>
          <w:szCs w:val="22"/>
        </w:rPr>
        <w:t>刺激での内皮増殖、炎症を伴う血管新生に特徴付けられる早期のシグナル</w:t>
      </w:r>
      <w:r w:rsidR="00B015E4" w:rsidRPr="000A7FE8">
        <w:rPr>
          <w:rFonts w:hint="eastAsia"/>
          <w:sz w:val="22"/>
          <w:szCs w:val="22"/>
        </w:rPr>
        <w:t>は、VEGF</w:t>
      </w:r>
      <w:r w:rsidRPr="000A7FE8">
        <w:rPr>
          <w:rFonts w:hint="eastAsia"/>
          <w:sz w:val="22"/>
          <w:szCs w:val="22"/>
        </w:rPr>
        <w:t>受容体</w:t>
      </w:r>
      <w:r w:rsidR="00B015E4" w:rsidRPr="000A7FE8">
        <w:rPr>
          <w:rFonts w:hint="eastAsia"/>
          <w:sz w:val="22"/>
          <w:szCs w:val="22"/>
        </w:rPr>
        <w:t>からのカルシウム流入―</w:t>
      </w:r>
      <w:r w:rsidR="00B015E4" w:rsidRPr="000A7FE8">
        <w:rPr>
          <w:sz w:val="22"/>
          <w:szCs w:val="22"/>
        </w:rPr>
        <w:t xml:space="preserve">calcineurin-NFAT </w:t>
      </w:r>
      <w:r w:rsidR="00B015E4" w:rsidRPr="000A7FE8">
        <w:rPr>
          <w:rFonts w:hint="eastAsia"/>
          <w:sz w:val="22"/>
          <w:szCs w:val="22"/>
        </w:rPr>
        <w:t>の核内移行とそれに伴う下流転写誘導とダウン症因子</w:t>
      </w:r>
      <w:r w:rsidR="00B015E4" w:rsidRPr="000A7FE8">
        <w:rPr>
          <w:sz w:val="22"/>
          <w:szCs w:val="22"/>
        </w:rPr>
        <w:t xml:space="preserve"> (DSCR)-1 </w:t>
      </w:r>
      <w:r w:rsidR="00B015E4" w:rsidRPr="000A7FE8">
        <w:rPr>
          <w:rFonts w:hint="eastAsia"/>
          <w:sz w:val="22"/>
          <w:szCs w:val="22"/>
        </w:rPr>
        <w:t>による的確な調節が鍵となることを証明してきました。これは想定していなかったことですが、エピゲノム解析から見出した</w:t>
      </w:r>
      <w:r w:rsidR="00B015E4" w:rsidRPr="000A7FE8">
        <w:rPr>
          <w:sz w:val="22"/>
          <w:szCs w:val="22"/>
        </w:rPr>
        <w:t xml:space="preserve"> PTIP </w:t>
      </w:r>
      <w:r w:rsidR="00B015E4" w:rsidRPr="000A7FE8">
        <w:rPr>
          <w:rFonts w:hint="eastAsia"/>
          <w:sz w:val="22"/>
          <w:szCs w:val="22"/>
        </w:rPr>
        <w:t>タンパクは内皮細胞では</w:t>
      </w:r>
      <w:r w:rsidR="00B015E4" w:rsidRPr="000A7FE8">
        <w:rPr>
          <w:sz w:val="22"/>
          <w:szCs w:val="22"/>
        </w:rPr>
        <w:t xml:space="preserve"> NFAT </w:t>
      </w:r>
      <w:r w:rsidR="00B015E4" w:rsidRPr="000A7FE8">
        <w:rPr>
          <w:rFonts w:hint="eastAsia"/>
          <w:sz w:val="22"/>
          <w:szCs w:val="22"/>
        </w:rPr>
        <w:t>と複合体を形成しており、</w:t>
      </w:r>
      <w:r w:rsidR="00B015E4" w:rsidRPr="000A7FE8">
        <w:rPr>
          <w:sz w:val="22"/>
          <w:szCs w:val="22"/>
        </w:rPr>
        <w:t xml:space="preserve">VEGF </w:t>
      </w:r>
      <w:r w:rsidR="00B015E4" w:rsidRPr="000A7FE8">
        <w:rPr>
          <w:rFonts w:hint="eastAsia"/>
          <w:sz w:val="22"/>
          <w:szCs w:val="22"/>
        </w:rPr>
        <w:t>刺激に伴って、NFAT が支配する内皮即時型転写因子群のゲノム領域に</w:t>
      </w:r>
      <w:r w:rsidR="003C73F8" w:rsidRPr="000A7FE8">
        <w:rPr>
          <w:sz w:val="22"/>
          <w:szCs w:val="22"/>
        </w:rPr>
        <w:t xml:space="preserve"> </w:t>
      </w:r>
      <w:r w:rsidR="00B015E4" w:rsidRPr="000A7FE8">
        <w:rPr>
          <w:sz w:val="22"/>
          <w:szCs w:val="22"/>
        </w:rPr>
        <w:t xml:space="preserve">PTIP </w:t>
      </w:r>
      <w:r w:rsidR="00B015E4" w:rsidRPr="000A7FE8">
        <w:rPr>
          <w:rFonts w:hint="eastAsia"/>
          <w:sz w:val="22"/>
          <w:szCs w:val="22"/>
        </w:rPr>
        <w:t>を呼び寄せて、</w:t>
      </w:r>
      <w:r w:rsidR="003C73F8" w:rsidRPr="000A7FE8">
        <w:rPr>
          <w:rFonts w:hint="eastAsia"/>
          <w:sz w:val="22"/>
          <w:szCs w:val="22"/>
        </w:rPr>
        <w:t>MLL3/4 にて</w:t>
      </w:r>
      <w:r w:rsidR="00B015E4" w:rsidRPr="000A7FE8">
        <w:rPr>
          <w:rFonts w:hint="eastAsia"/>
          <w:sz w:val="22"/>
          <w:szCs w:val="22"/>
        </w:rPr>
        <w:t>アクセル</w:t>
      </w:r>
      <w:r w:rsidR="00B015E4" w:rsidRPr="000A7FE8">
        <w:rPr>
          <w:sz w:val="22"/>
          <w:szCs w:val="22"/>
        </w:rPr>
        <w:t xml:space="preserve"> (Pol II</w:t>
      </w:r>
      <w:r w:rsidR="00B015E4" w:rsidRPr="000A7FE8">
        <w:rPr>
          <w:rFonts w:hint="eastAsia"/>
          <w:sz w:val="22"/>
          <w:szCs w:val="22"/>
        </w:rPr>
        <w:t>)による</w:t>
      </w:r>
      <w:r w:rsidR="003C73F8" w:rsidRPr="000A7FE8">
        <w:rPr>
          <w:rFonts w:hint="eastAsia"/>
          <w:sz w:val="22"/>
          <w:szCs w:val="22"/>
        </w:rPr>
        <w:t>転写を走らせていることもわかりました。即ち、もともと</w:t>
      </w:r>
      <w:r w:rsidR="003C73F8" w:rsidRPr="000A7FE8">
        <w:rPr>
          <w:sz w:val="22"/>
          <w:szCs w:val="22"/>
        </w:rPr>
        <w:t xml:space="preserve">PRC2 </w:t>
      </w:r>
      <w:r w:rsidR="003C73F8" w:rsidRPr="000A7FE8">
        <w:rPr>
          <w:rFonts w:hint="eastAsia"/>
          <w:sz w:val="22"/>
          <w:szCs w:val="22"/>
        </w:rPr>
        <w:t>によるブレーキがかかっているが、</w:t>
      </w:r>
      <w:r w:rsidR="003C73F8" w:rsidRPr="000A7FE8">
        <w:rPr>
          <w:sz w:val="22"/>
          <w:szCs w:val="22"/>
        </w:rPr>
        <w:t xml:space="preserve">VEGF </w:t>
      </w:r>
      <w:r w:rsidR="003C73F8" w:rsidRPr="000A7FE8">
        <w:rPr>
          <w:rFonts w:hint="eastAsia"/>
          <w:sz w:val="22"/>
          <w:szCs w:val="22"/>
        </w:rPr>
        <w:t>刺激によって即時型転写因子群のゲノム領域に</w:t>
      </w:r>
      <w:r w:rsidR="003C73F8" w:rsidRPr="000A7FE8">
        <w:rPr>
          <w:sz w:val="22"/>
          <w:szCs w:val="22"/>
        </w:rPr>
        <w:t xml:space="preserve"> PRC1.3 </w:t>
      </w:r>
      <w:r w:rsidR="003C73F8" w:rsidRPr="000A7FE8">
        <w:rPr>
          <w:rFonts w:hint="eastAsia"/>
          <w:sz w:val="22"/>
          <w:szCs w:val="22"/>
        </w:rPr>
        <w:t>の働きでもってブレーキを一時的に解除し、その場所に</w:t>
      </w:r>
      <w:r w:rsidR="003C73F8" w:rsidRPr="000A7FE8">
        <w:rPr>
          <w:sz w:val="22"/>
          <w:szCs w:val="22"/>
        </w:rPr>
        <w:t xml:space="preserve"> NFAT-PTIP </w:t>
      </w:r>
      <w:r w:rsidR="003C73F8" w:rsidRPr="000A7FE8">
        <w:rPr>
          <w:rFonts w:hint="eastAsia"/>
          <w:sz w:val="22"/>
          <w:szCs w:val="22"/>
        </w:rPr>
        <w:t>によってアクセル本体</w:t>
      </w:r>
      <w:r w:rsidR="003C73F8" w:rsidRPr="000A7FE8">
        <w:rPr>
          <w:sz w:val="22"/>
          <w:szCs w:val="22"/>
        </w:rPr>
        <w:t xml:space="preserve"> (MLL3/4 </w:t>
      </w:r>
      <w:r w:rsidR="003C73F8" w:rsidRPr="000A7FE8">
        <w:rPr>
          <w:rFonts w:hint="eastAsia"/>
          <w:sz w:val="22"/>
          <w:szCs w:val="22"/>
        </w:rPr>
        <w:t>による</w:t>
      </w:r>
      <w:r w:rsidR="003C73F8" w:rsidRPr="000A7FE8">
        <w:rPr>
          <w:sz w:val="22"/>
          <w:szCs w:val="22"/>
        </w:rPr>
        <w:t xml:space="preserve"> H3K4me3 </w:t>
      </w:r>
      <w:r w:rsidR="000A7FE8" w:rsidRPr="000A7FE8">
        <w:rPr>
          <w:rFonts w:hint="eastAsia"/>
          <w:sz w:val="22"/>
          <w:szCs w:val="22"/>
        </w:rPr>
        <w:t>ヒストンマーキング)を呼んでくることで</w:t>
      </w:r>
      <w:r w:rsidR="000A7FE8" w:rsidRPr="000A7FE8">
        <w:rPr>
          <w:sz w:val="22"/>
          <w:szCs w:val="22"/>
        </w:rPr>
        <w:t xml:space="preserve"> PolII </w:t>
      </w:r>
      <w:r w:rsidR="000A7FE8" w:rsidRPr="000A7FE8">
        <w:rPr>
          <w:rFonts w:hint="eastAsia"/>
          <w:sz w:val="22"/>
          <w:szCs w:val="22"/>
        </w:rPr>
        <w:t>がそのゲノム上を転写することがわかりました。例えると、車がサイドブレーキをかけながらアクセルペダルを踏むことで一過性に急発進するようなイメージです。私はこれを</w:t>
      </w:r>
      <w:r w:rsidR="000A7FE8" w:rsidRPr="000A7FE8">
        <w:rPr>
          <w:sz w:val="22"/>
          <w:szCs w:val="22"/>
        </w:rPr>
        <w:t xml:space="preserve"> VEGF-episwitch </w:t>
      </w:r>
      <w:r w:rsidR="000A7FE8" w:rsidRPr="000A7FE8">
        <w:rPr>
          <w:rFonts w:hint="eastAsia"/>
          <w:sz w:val="22"/>
          <w:szCs w:val="22"/>
        </w:rPr>
        <w:t>と名付け、論文上で示しました。</w:t>
      </w:r>
    </w:p>
    <w:p w14:paraId="19847FCF" w14:textId="52618E27" w:rsidR="000A7FE8" w:rsidRDefault="000A7FE8">
      <w:pPr>
        <w:rPr>
          <w:sz w:val="22"/>
          <w:szCs w:val="22"/>
        </w:rPr>
      </w:pPr>
      <w:r>
        <w:rPr>
          <w:rFonts w:hint="eastAsia"/>
          <w:sz w:val="22"/>
          <w:szCs w:val="22"/>
        </w:rPr>
        <w:t>ちなみに、</w:t>
      </w:r>
      <w:r w:rsidR="004563A9">
        <w:rPr>
          <w:rFonts w:hint="eastAsia"/>
          <w:sz w:val="22"/>
          <w:szCs w:val="22"/>
        </w:rPr>
        <w:t>実用化至上主義の世の中ですのでこんなエピゲノム解析で</w:t>
      </w:r>
      <w:r>
        <w:rPr>
          <w:rFonts w:hint="eastAsia"/>
          <w:sz w:val="22"/>
          <w:szCs w:val="22"/>
        </w:rPr>
        <w:t>何に使えるのかと問われます。臨床の観点では、血管内皮細胞の増殖は炎症、血管新生に繋がり、がんや慢性炎症（生活習慣病）の病態そのものに</w:t>
      </w:r>
      <w:r w:rsidR="004563A9">
        <w:rPr>
          <w:rFonts w:hint="eastAsia"/>
          <w:sz w:val="22"/>
          <w:szCs w:val="22"/>
        </w:rPr>
        <w:t>関与してくることがわかっています。そこで血管新生を止める抗血管新生療法たるものが取り入れられ、抗がんや加齢黄斑変性症などに使われていますが、正常な血管内皮にも悪影響を及ぼす場合が多く、</w:t>
      </w:r>
      <w:r w:rsidR="00B949A0">
        <w:rPr>
          <w:rFonts w:hint="eastAsia"/>
          <w:sz w:val="22"/>
          <w:szCs w:val="22"/>
        </w:rPr>
        <w:t>多くの</w:t>
      </w:r>
      <w:r w:rsidR="00CB77F3">
        <w:rPr>
          <w:rFonts w:hint="eastAsia"/>
          <w:sz w:val="22"/>
          <w:szCs w:val="22"/>
        </w:rPr>
        <w:t>制限があります。今回の</w:t>
      </w:r>
      <w:r w:rsidR="00CB77F3">
        <w:rPr>
          <w:sz w:val="22"/>
          <w:szCs w:val="22"/>
        </w:rPr>
        <w:t xml:space="preserve">VEGF-episwitch </w:t>
      </w:r>
      <w:r w:rsidR="00CB77F3">
        <w:rPr>
          <w:rFonts w:hint="eastAsia"/>
          <w:sz w:val="22"/>
          <w:szCs w:val="22"/>
        </w:rPr>
        <w:t>に着目して、</w:t>
      </w:r>
      <w:r w:rsidR="00CB77F3">
        <w:rPr>
          <w:sz w:val="22"/>
          <w:szCs w:val="22"/>
        </w:rPr>
        <w:t xml:space="preserve">PRC1.3 </w:t>
      </w:r>
      <w:r w:rsidR="00CB77F3">
        <w:rPr>
          <w:rFonts w:hint="eastAsia"/>
          <w:sz w:val="22"/>
          <w:szCs w:val="22"/>
        </w:rPr>
        <w:t>のコアタンパク</w:t>
      </w:r>
      <w:r w:rsidR="00CB77F3">
        <w:rPr>
          <w:sz w:val="22"/>
          <w:szCs w:val="22"/>
        </w:rPr>
        <w:t xml:space="preserve"> PCGF3 </w:t>
      </w:r>
      <w:r w:rsidR="00CB77F3">
        <w:rPr>
          <w:rFonts w:hint="eastAsia"/>
          <w:sz w:val="22"/>
          <w:szCs w:val="22"/>
        </w:rPr>
        <w:t>を内皮細胞特異的に欠損したマウスやがんを植え付けた担がんマウスの血管にPTIP の内皮発現を抑制するようなモデルを作った場合、胎生期の血管新生</w:t>
      </w:r>
      <w:r w:rsidR="00CB77F3">
        <w:rPr>
          <w:sz w:val="22"/>
          <w:szCs w:val="22"/>
        </w:rPr>
        <w:t xml:space="preserve"> (Developmental angiogenesis) </w:t>
      </w:r>
      <w:r w:rsidR="00CB77F3">
        <w:rPr>
          <w:rFonts w:hint="eastAsia"/>
          <w:sz w:val="22"/>
          <w:szCs w:val="22"/>
        </w:rPr>
        <w:t>には</w:t>
      </w:r>
      <w:r w:rsidR="00B949A0">
        <w:rPr>
          <w:rFonts w:hint="eastAsia"/>
          <w:sz w:val="22"/>
          <w:szCs w:val="22"/>
        </w:rPr>
        <w:t>一切</w:t>
      </w:r>
      <w:r w:rsidR="00CB77F3">
        <w:rPr>
          <w:rFonts w:hint="eastAsia"/>
          <w:sz w:val="22"/>
          <w:szCs w:val="22"/>
        </w:rPr>
        <w:t>影響を与えず、NFAT 活性化を介する主に炎症を伴う病的な血</w:t>
      </w:r>
      <w:r w:rsidR="00CB77F3">
        <w:rPr>
          <w:rFonts w:hint="eastAsia"/>
          <w:sz w:val="22"/>
          <w:szCs w:val="22"/>
        </w:rPr>
        <w:lastRenderedPageBreak/>
        <w:t>管新生</w:t>
      </w:r>
      <w:r w:rsidR="0045264E">
        <w:rPr>
          <w:rFonts w:hint="eastAsia"/>
          <w:sz w:val="22"/>
          <w:szCs w:val="22"/>
        </w:rPr>
        <w:t xml:space="preserve"> </w:t>
      </w:r>
      <w:r w:rsidR="0045264E">
        <w:rPr>
          <w:sz w:val="22"/>
          <w:szCs w:val="22"/>
        </w:rPr>
        <w:t xml:space="preserve">(pathological angiogenesis) </w:t>
      </w:r>
      <w:r w:rsidR="0045264E">
        <w:rPr>
          <w:rFonts w:hint="eastAsia"/>
          <w:sz w:val="22"/>
          <w:szCs w:val="22"/>
        </w:rPr>
        <w:t>のみを阻害し、がん増殖も遅延させることが出来ました。</w:t>
      </w:r>
    </w:p>
    <w:p w14:paraId="654AF8B3" w14:textId="77777777" w:rsidR="0045264E" w:rsidRDefault="0045264E">
      <w:pPr>
        <w:rPr>
          <w:sz w:val="22"/>
          <w:szCs w:val="22"/>
        </w:rPr>
      </w:pPr>
    </w:p>
    <w:p w14:paraId="325FB940" w14:textId="538060B8" w:rsidR="0045264E" w:rsidRDefault="0045264E">
      <w:pPr>
        <w:rPr>
          <w:sz w:val="22"/>
          <w:szCs w:val="22"/>
        </w:rPr>
      </w:pPr>
      <w:r>
        <w:rPr>
          <w:rFonts w:hint="eastAsia"/>
          <w:sz w:val="22"/>
          <w:szCs w:val="22"/>
        </w:rPr>
        <w:t>以上が今回論文に発表した内容ですが、今後は、VEGF-NFAT でのエピゲノム動態変化の更なる機能解明と</w:t>
      </w:r>
      <w:r>
        <w:rPr>
          <w:sz w:val="22"/>
          <w:szCs w:val="22"/>
        </w:rPr>
        <w:t xml:space="preserve"> PTIP </w:t>
      </w:r>
      <w:r>
        <w:rPr>
          <w:rFonts w:hint="eastAsia"/>
          <w:sz w:val="22"/>
          <w:szCs w:val="22"/>
        </w:rPr>
        <w:t>やPRC1.3 複合体を調節して、がんや慢性炎症（動脈硬化性疾患）のみを選択的に阻害するエピゲノム創薬やモデルマウスの確立を行っていく計画です。</w:t>
      </w:r>
    </w:p>
    <w:p w14:paraId="558F459C" w14:textId="4C12F2A4" w:rsidR="00444307" w:rsidRPr="00444307" w:rsidRDefault="00444307" w:rsidP="00444307">
      <w:pPr>
        <w:widowControl/>
        <w:jc w:val="left"/>
        <w:rPr>
          <w:rFonts w:ascii="ＭＳ Ｐゴシック" w:eastAsia="ＭＳ Ｐゴシック" w:hAnsi="ＭＳ Ｐゴシック" w:cs="ＭＳ Ｐゴシック"/>
          <w:kern w:val="0"/>
        </w:rPr>
      </w:pPr>
      <w:r w:rsidRPr="00444307">
        <w:rPr>
          <w:rFonts w:ascii="ＭＳ Ｐゴシック" w:eastAsia="ＭＳ Ｐゴシック" w:hAnsi="ＭＳ Ｐゴシック" w:cs="ＭＳ Ｐゴシック"/>
          <w:noProof/>
          <w:kern w:val="0"/>
        </w:rPr>
        <w:drawing>
          <wp:anchor distT="0" distB="0" distL="114300" distR="114300" simplePos="0" relativeHeight="251658240" behindDoc="1" locked="0" layoutInCell="1" allowOverlap="1" wp14:anchorId="20ACBF9D" wp14:editId="58C1F341">
            <wp:simplePos x="0" y="0"/>
            <wp:positionH relativeFrom="column">
              <wp:posOffset>2390775</wp:posOffset>
            </wp:positionH>
            <wp:positionV relativeFrom="paragraph">
              <wp:posOffset>532765</wp:posOffset>
            </wp:positionV>
            <wp:extent cx="1034415" cy="859790"/>
            <wp:effectExtent l="74613" t="39687" r="30797" b="56198"/>
            <wp:wrapTight wrapText="bothSides">
              <wp:wrapPolygon edited="0">
                <wp:start x="-826" y="9888"/>
                <wp:lineTo x="-1545" y="21679"/>
                <wp:lineTo x="2927" y="22366"/>
                <wp:lineTo x="7445" y="17593"/>
                <wp:lineTo x="15929" y="18255"/>
                <wp:lineTo x="16052" y="22134"/>
                <wp:lineTo x="19768" y="22384"/>
                <wp:lineTo x="21448" y="21677"/>
                <wp:lineTo x="21616" y="20095"/>
                <wp:lineTo x="21649" y="19779"/>
                <wp:lineTo x="21416" y="6877"/>
                <wp:lineTo x="20337" y="4459"/>
                <wp:lineTo x="17813" y="533"/>
                <wp:lineTo x="14920" y="87"/>
                <wp:lineTo x="12662" y="8746"/>
                <wp:lineTo x="4278" y="7135"/>
                <wp:lineTo x="3003" y="4044"/>
                <wp:lineTo x="507" y="2373"/>
                <wp:lineTo x="-255" y="4508"/>
                <wp:lineTo x="-826" y="9888"/>
              </wp:wrapPolygon>
            </wp:wrapTight>
            <wp:docPr id="10" name="図 10" descr="動脈と静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動脈と静脈"/>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4962797">
                      <a:off x="0" y="0"/>
                      <a:ext cx="1034415"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481" w:rsidRPr="00997481">
        <w:rPr>
          <w:rFonts w:ascii="ＭＳ Ｐゴシック" w:eastAsia="ＭＳ Ｐゴシック" w:hAnsi="ＭＳ Ｐゴシック" w:cs="ＭＳ Ｐゴシック"/>
          <w:kern w:val="0"/>
        </w:rPr>
        <w:fldChar w:fldCharType="begin"/>
      </w:r>
      <w:r w:rsidR="003F15C7">
        <w:rPr>
          <w:rFonts w:ascii="ＭＳ Ｐゴシック" w:eastAsia="ＭＳ Ｐゴシック" w:hAnsi="ＭＳ Ｐゴシック" w:cs="ＭＳ Ｐゴシック"/>
          <w:kern w:val="0"/>
        </w:rPr>
        <w:instrText xml:space="preserve"> INCLUDEPICTURE "C:\\var\\folders\\lm\\51f8gyg12rg49_xlrgkbt2pc0000gn\\T\\com.microsoft.Word\\WebArchiveCopyPasteTempFiles\\201309_histone.png" \* MERGEFORMAT </w:instrText>
      </w:r>
      <w:r w:rsidR="00997481" w:rsidRPr="00997481">
        <w:rPr>
          <w:rFonts w:ascii="ＭＳ Ｐゴシック" w:eastAsia="ＭＳ Ｐゴシック" w:hAnsi="ＭＳ Ｐゴシック" w:cs="ＭＳ Ｐゴシック"/>
          <w:kern w:val="0"/>
        </w:rPr>
        <w:fldChar w:fldCharType="separate"/>
      </w:r>
      <w:r w:rsidR="00997481" w:rsidRPr="00997481">
        <w:rPr>
          <w:rFonts w:ascii="ＭＳ Ｐゴシック" w:eastAsia="ＭＳ Ｐゴシック" w:hAnsi="ＭＳ Ｐゴシック" w:cs="ＭＳ Ｐゴシック"/>
          <w:noProof/>
          <w:kern w:val="0"/>
        </w:rPr>
        <w:drawing>
          <wp:inline distT="0" distB="0" distL="0" distR="0" wp14:anchorId="7693BB21" wp14:editId="7AD8E12C">
            <wp:extent cx="1811866" cy="1811866"/>
            <wp:effectExtent l="0" t="0" r="4445" b="0"/>
            <wp:docPr id="3" name="図 3" descr="ヒスト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ヒストン"/>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22702" cy="1822702"/>
                    </a:xfrm>
                    <a:prstGeom prst="rect">
                      <a:avLst/>
                    </a:prstGeom>
                    <a:noFill/>
                    <a:ln>
                      <a:noFill/>
                    </a:ln>
                  </pic:spPr>
                </pic:pic>
              </a:graphicData>
            </a:graphic>
          </wp:inline>
        </w:drawing>
      </w:r>
      <w:r w:rsidR="00997481" w:rsidRPr="00997481">
        <w:rPr>
          <w:rFonts w:ascii="ＭＳ Ｐゴシック" w:eastAsia="ＭＳ Ｐゴシック" w:hAnsi="ＭＳ Ｐゴシック" w:cs="ＭＳ Ｐゴシック"/>
          <w:kern w:val="0"/>
        </w:rPr>
        <w:fldChar w:fldCharType="end"/>
      </w:r>
      <w:r w:rsidRPr="00444307">
        <w:rPr>
          <w:rFonts w:ascii="ＭＳ Ｐゴシック" w:eastAsia="ＭＳ Ｐゴシック" w:hAnsi="ＭＳ Ｐゴシック" w:cs="ＭＳ Ｐゴシック"/>
          <w:kern w:val="0"/>
        </w:rPr>
        <w:fldChar w:fldCharType="begin"/>
      </w:r>
      <w:r w:rsidR="003F15C7">
        <w:rPr>
          <w:rFonts w:ascii="ＭＳ Ｐゴシック" w:eastAsia="ＭＳ Ｐゴシック" w:hAnsi="ＭＳ Ｐゴシック" w:cs="ＭＳ Ｐゴシック"/>
          <w:kern w:val="0"/>
        </w:rPr>
        <w:instrText xml:space="preserve"> INCLUDEPICTURE "C:\\var\\folders\\lm\\51f8gyg12rg49_xlrgkbt2pc0000gn\\T\\com.microsoft.Word\\WebArchiveCopyPasteTempFiles\\201405_artery.png" \* MERGEFORMAT </w:instrText>
      </w:r>
      <w:r w:rsidRPr="00444307">
        <w:rPr>
          <w:rFonts w:ascii="ＭＳ Ｐゴシック" w:eastAsia="ＭＳ Ｐゴシック" w:hAnsi="ＭＳ Ｐゴシック" w:cs="ＭＳ Ｐゴシック"/>
          <w:kern w:val="0"/>
        </w:rPr>
        <w:fldChar w:fldCharType="separate"/>
      </w:r>
      <w:r w:rsidRPr="00444307">
        <w:rPr>
          <w:rFonts w:ascii="ＭＳ Ｐゴシック" w:eastAsia="ＭＳ Ｐゴシック" w:hAnsi="ＭＳ Ｐゴシック" w:cs="ＭＳ Ｐゴシック"/>
          <w:noProof/>
          <w:kern w:val="0"/>
        </w:rPr>
        <w:drawing>
          <wp:inline distT="0" distB="0" distL="0" distR="0" wp14:anchorId="205770CE" wp14:editId="093BDFAD">
            <wp:extent cx="1515321" cy="1515321"/>
            <wp:effectExtent l="0" t="0" r="0" b="0"/>
            <wp:docPr id="11" name="図 11" descr="動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動脈"/>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6524" cy="1526524"/>
                    </a:xfrm>
                    <a:prstGeom prst="rect">
                      <a:avLst/>
                    </a:prstGeom>
                    <a:noFill/>
                    <a:ln>
                      <a:noFill/>
                    </a:ln>
                  </pic:spPr>
                </pic:pic>
              </a:graphicData>
            </a:graphic>
          </wp:inline>
        </w:drawing>
      </w:r>
      <w:r w:rsidRPr="00444307">
        <w:rPr>
          <w:rFonts w:ascii="ＭＳ Ｐゴシック" w:eastAsia="ＭＳ Ｐゴシック" w:hAnsi="ＭＳ Ｐゴシック" w:cs="ＭＳ Ｐゴシック"/>
          <w:kern w:val="0"/>
        </w:rPr>
        <w:fldChar w:fldCharType="end"/>
      </w:r>
    </w:p>
    <w:p w14:paraId="1E3FBCE9" w14:textId="667B6B5C" w:rsidR="00444307" w:rsidRPr="00444307" w:rsidRDefault="00444307" w:rsidP="00444307">
      <w:pPr>
        <w:widowControl/>
        <w:jc w:val="left"/>
        <w:rPr>
          <w:rFonts w:ascii="ＭＳ Ｐゴシック" w:eastAsia="ＭＳ Ｐゴシック" w:hAnsi="ＭＳ Ｐゴシック" w:cs="ＭＳ Ｐゴシック"/>
          <w:kern w:val="0"/>
        </w:rPr>
      </w:pPr>
      <w:r w:rsidRPr="00444307">
        <w:rPr>
          <w:rFonts w:ascii="ＭＳ Ｐゴシック" w:eastAsia="ＭＳ Ｐゴシック" w:hAnsi="ＭＳ Ｐゴシック" w:cs="ＭＳ Ｐゴシック"/>
          <w:kern w:val="0"/>
        </w:rPr>
        <w:fldChar w:fldCharType="begin"/>
      </w:r>
      <w:r w:rsidR="003F15C7">
        <w:rPr>
          <w:rFonts w:ascii="ＭＳ Ｐゴシック" w:eastAsia="ＭＳ Ｐゴシック" w:hAnsi="ＭＳ Ｐゴシック" w:cs="ＭＳ Ｐゴシック"/>
          <w:kern w:val="0"/>
        </w:rPr>
        <w:instrText xml:space="preserve"> INCLUDEPICTURE "C:\\var\\folders\\lm\\51f8gyg12rg49_xlrgkbt2pc0000gn\\T\\com.microsoft.Word\\WebArchiveCopyPasteTempFiles\\202104_Arteries_and_veins.png" \* MERGEFORMAT </w:instrText>
      </w:r>
      <w:r w:rsidRPr="00444307">
        <w:rPr>
          <w:rFonts w:ascii="ＭＳ Ｐゴシック" w:eastAsia="ＭＳ Ｐゴシック" w:hAnsi="ＭＳ Ｐゴシック" w:cs="ＭＳ Ｐゴシック"/>
          <w:kern w:val="0"/>
        </w:rPr>
        <w:fldChar w:fldCharType="end"/>
      </w:r>
    </w:p>
    <w:p w14:paraId="65D29C94" w14:textId="0E3EE614" w:rsidR="00997481" w:rsidRPr="00997481" w:rsidRDefault="00997481" w:rsidP="00997481">
      <w:pPr>
        <w:widowControl/>
        <w:jc w:val="left"/>
        <w:rPr>
          <w:rFonts w:ascii="ＭＳ Ｐゴシック" w:eastAsia="ＭＳ Ｐゴシック" w:hAnsi="ＭＳ Ｐゴシック" w:cs="ＭＳ Ｐゴシック"/>
          <w:kern w:val="0"/>
        </w:rPr>
      </w:pPr>
    </w:p>
    <w:p w14:paraId="1C7ECADD" w14:textId="5BCDC031" w:rsidR="00997481" w:rsidRPr="00997481" w:rsidRDefault="00997481" w:rsidP="00997481">
      <w:pPr>
        <w:widowControl/>
        <w:jc w:val="left"/>
        <w:rPr>
          <w:rFonts w:ascii="ＭＳ Ｐゴシック" w:eastAsia="ＭＳ Ｐゴシック" w:hAnsi="ＭＳ Ｐゴシック" w:cs="ＭＳ Ｐゴシック"/>
          <w:kern w:val="0"/>
        </w:rPr>
      </w:pPr>
    </w:p>
    <w:p w14:paraId="5D9F067A" w14:textId="38C861B1" w:rsidR="00997481" w:rsidRDefault="00997481">
      <w:pPr>
        <w:rPr>
          <w:sz w:val="22"/>
          <w:szCs w:val="22"/>
        </w:rPr>
      </w:pPr>
    </w:p>
    <w:p w14:paraId="7A58A84D" w14:textId="363D8C7B" w:rsidR="00997481" w:rsidRDefault="00997481">
      <w:pPr>
        <w:rPr>
          <w:sz w:val="22"/>
          <w:szCs w:val="22"/>
        </w:rPr>
      </w:pPr>
    </w:p>
    <w:p w14:paraId="724323EC" w14:textId="77777777" w:rsidR="00997481" w:rsidRDefault="00997481">
      <w:pPr>
        <w:rPr>
          <w:sz w:val="22"/>
          <w:szCs w:val="22"/>
        </w:rPr>
      </w:pPr>
    </w:p>
    <w:p w14:paraId="0A4DE808" w14:textId="69CB3F17" w:rsidR="00617D04" w:rsidRDefault="00617D04">
      <w:pPr>
        <w:widowControl/>
        <w:jc w:val="left"/>
        <w:rPr>
          <w:sz w:val="22"/>
          <w:szCs w:val="22"/>
        </w:rPr>
      </w:pPr>
      <w:r>
        <w:rPr>
          <w:sz w:val="22"/>
          <w:szCs w:val="22"/>
        </w:rPr>
        <w:br w:type="page"/>
      </w:r>
    </w:p>
    <w:p w14:paraId="0EDDDB5D" w14:textId="77777777" w:rsidR="00617D04" w:rsidRDefault="00617D04" w:rsidP="00617D04">
      <w:pPr>
        <w:tabs>
          <w:tab w:val="left" w:pos="0"/>
        </w:tabs>
        <w:autoSpaceDE w:val="0"/>
        <w:autoSpaceDN w:val="0"/>
        <w:adjustRightInd w:val="0"/>
        <w:ind w:left="105" w:hangingChars="50" w:hanging="105"/>
        <w:jc w:val="left"/>
        <w:rPr>
          <w:rFonts w:ascii="ＭＳ 明朝" w:eastAsia="ＭＳ 明朝" w:hAnsi="ＭＳ 明朝"/>
        </w:rPr>
      </w:pPr>
      <w:r w:rsidRPr="00DB679E">
        <w:rPr>
          <w:rFonts w:ascii="ＭＳ 明朝" w:eastAsia="ＭＳ 明朝" w:hAnsi="ＭＳ 明朝"/>
          <w:noProof/>
          <w:sz w:val="21"/>
        </w:rPr>
        <w:lastRenderedPageBreak/>
        <w:drawing>
          <wp:inline distT="0" distB="0" distL="0" distR="0" wp14:anchorId="4316E1A9" wp14:editId="5FDBFBB1">
            <wp:extent cx="1880074" cy="1114495"/>
            <wp:effectExtent l="0" t="0" r="0" b="31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05147" cy="1129358"/>
                    </a:xfrm>
                    <a:prstGeom prst="rect">
                      <a:avLst/>
                    </a:prstGeom>
                  </pic:spPr>
                </pic:pic>
              </a:graphicData>
            </a:graphic>
          </wp:inline>
        </w:drawing>
      </w:r>
      <w:r w:rsidRPr="00677AD8">
        <w:rPr>
          <w:rFonts w:ascii="ＭＳ 明朝" w:eastAsia="ＭＳ 明朝" w:hAnsi="ＭＳ 明朝"/>
        </w:rPr>
        <w:t>VEGF</w:t>
      </w:r>
      <w:r w:rsidRPr="00677AD8">
        <w:rPr>
          <w:rFonts w:ascii="ＭＳ 明朝" w:eastAsia="ＭＳ 明朝" w:hAnsi="ＭＳ 明朝" w:hint="eastAsia"/>
        </w:rPr>
        <w:t>シグナルでの血管新生遺伝子転写カスケード</w:t>
      </w:r>
    </w:p>
    <w:p w14:paraId="464B89B0" w14:textId="77777777" w:rsidR="00617D04" w:rsidRDefault="00617D04" w:rsidP="00617D04">
      <w:pPr>
        <w:tabs>
          <w:tab w:val="left" w:pos="0"/>
        </w:tabs>
        <w:autoSpaceDE w:val="0"/>
        <w:autoSpaceDN w:val="0"/>
        <w:adjustRightInd w:val="0"/>
        <w:ind w:left="120" w:hangingChars="50" w:hanging="120"/>
        <w:jc w:val="left"/>
        <w:rPr>
          <w:rFonts w:ascii="ＭＳ 明朝" w:eastAsia="ＭＳ 明朝" w:hAnsi="ＭＳ 明朝"/>
        </w:rPr>
      </w:pPr>
    </w:p>
    <w:p w14:paraId="180E2732" w14:textId="703542AB" w:rsidR="00617D04" w:rsidRPr="003D2A72" w:rsidRDefault="00617D04" w:rsidP="00617D04">
      <w:pPr>
        <w:tabs>
          <w:tab w:val="left" w:pos="0"/>
        </w:tabs>
        <w:autoSpaceDE w:val="0"/>
        <w:autoSpaceDN w:val="0"/>
        <w:adjustRightInd w:val="0"/>
        <w:ind w:left="120" w:hangingChars="50" w:hanging="120"/>
        <w:jc w:val="left"/>
        <w:rPr>
          <w:rFonts w:ascii="HGPｺﾞｼｯｸM" w:eastAsia="HGPｺﾞｼｯｸM"/>
          <w:sz w:val="21"/>
        </w:rPr>
      </w:pPr>
      <w:r w:rsidRPr="0039576A">
        <w:rPr>
          <w:noProof/>
        </w:rPr>
        <w:drawing>
          <wp:inline distT="0" distB="0" distL="0" distR="0" wp14:anchorId="15539357" wp14:editId="42482282">
            <wp:extent cx="5606041" cy="3153360"/>
            <wp:effectExtent l="12700" t="12700" r="762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09480" cy="3155294"/>
                    </a:xfrm>
                    <a:prstGeom prst="rect">
                      <a:avLst/>
                    </a:prstGeom>
                    <a:ln>
                      <a:solidFill>
                        <a:schemeClr val="tx1"/>
                      </a:solidFill>
                    </a:ln>
                  </pic:spPr>
                </pic:pic>
              </a:graphicData>
            </a:graphic>
          </wp:inline>
        </w:drawing>
      </w:r>
      <w:r w:rsidRPr="003D2A72">
        <w:rPr>
          <w:rFonts w:ascii="HGPｺﾞｼｯｸM" w:eastAsia="HGPｺﾞｼｯｸM"/>
          <w:sz w:val="21"/>
        </w:rPr>
        <w:t xml:space="preserve"> </w:t>
      </w:r>
    </w:p>
    <w:p w14:paraId="720261F5" w14:textId="77777777" w:rsidR="00617D04" w:rsidRDefault="00617D04" w:rsidP="00617D04">
      <w:pPr>
        <w:tabs>
          <w:tab w:val="left" w:pos="0"/>
        </w:tabs>
        <w:autoSpaceDE w:val="0"/>
        <w:autoSpaceDN w:val="0"/>
        <w:adjustRightInd w:val="0"/>
        <w:jc w:val="left"/>
        <w:rPr>
          <w:rFonts w:ascii="ＭＳ 明朝" w:eastAsia="ＭＳ 明朝" w:hAnsi="ＭＳ 明朝"/>
          <w:sz w:val="21"/>
        </w:rPr>
      </w:pPr>
      <w:r w:rsidRPr="00602F94">
        <w:rPr>
          <w:rFonts w:ascii="ＭＳ 明朝" w:eastAsia="ＭＳ 明朝" w:hAnsi="ＭＳ 明朝" w:hint="eastAsia"/>
          <w:sz w:val="21"/>
        </w:rPr>
        <w:t>内皮活性化</w:t>
      </w:r>
      <w:r w:rsidRPr="00602F94">
        <w:rPr>
          <w:rFonts w:ascii="ＭＳ 明朝" w:eastAsia="ＭＳ 明朝" w:hAnsi="ＭＳ 明朝"/>
          <w:sz w:val="21"/>
        </w:rPr>
        <w:t xml:space="preserve"> bivalent </w:t>
      </w:r>
      <w:r w:rsidRPr="00602F94">
        <w:rPr>
          <w:rFonts w:ascii="ＭＳ 明朝" w:eastAsia="ＭＳ 明朝" w:hAnsi="ＭＳ 明朝" w:hint="eastAsia"/>
          <w:sz w:val="21"/>
        </w:rPr>
        <w:t>スイッチのコンセプト</w:t>
      </w:r>
      <w:r w:rsidRPr="00602F94">
        <w:rPr>
          <w:rFonts w:ascii="ＭＳ 明朝" w:eastAsia="ＭＳ 明朝" w:hAnsi="ＭＳ 明朝"/>
          <w:sz w:val="21"/>
        </w:rPr>
        <w:t xml:space="preserve">; </w:t>
      </w:r>
      <w:r w:rsidRPr="00602F94">
        <w:rPr>
          <w:rFonts w:ascii="ＭＳ 明朝" w:eastAsia="ＭＳ 明朝" w:hAnsi="ＭＳ 明朝" w:hint="eastAsia"/>
          <w:sz w:val="21"/>
        </w:rPr>
        <w:t>既存の幹細胞分化スイッチとは異なり、ブレーキかかったまま、アクセルがかかり一過性の転写を生じる</w:t>
      </w:r>
    </w:p>
    <w:p w14:paraId="6074E811" w14:textId="77777777" w:rsidR="00617D04" w:rsidRDefault="00617D04" w:rsidP="00617D04">
      <w:pPr>
        <w:tabs>
          <w:tab w:val="left" w:pos="0"/>
        </w:tabs>
        <w:autoSpaceDE w:val="0"/>
        <w:autoSpaceDN w:val="0"/>
        <w:adjustRightInd w:val="0"/>
        <w:jc w:val="left"/>
        <w:rPr>
          <w:rFonts w:ascii="ＭＳ 明朝" w:eastAsia="ＭＳ 明朝" w:hAnsi="ＭＳ 明朝"/>
          <w:sz w:val="21"/>
        </w:rPr>
      </w:pPr>
    </w:p>
    <w:p w14:paraId="7FF7BBF3" w14:textId="77777777" w:rsidR="00617D04" w:rsidRDefault="00617D04" w:rsidP="00617D04">
      <w:pPr>
        <w:tabs>
          <w:tab w:val="left" w:pos="0"/>
        </w:tabs>
        <w:autoSpaceDE w:val="0"/>
        <w:autoSpaceDN w:val="0"/>
        <w:adjustRightInd w:val="0"/>
        <w:jc w:val="left"/>
        <w:rPr>
          <w:rFonts w:ascii="ＭＳ 明朝" w:eastAsia="ＭＳ 明朝" w:hAnsi="ＭＳ 明朝"/>
          <w:sz w:val="21"/>
        </w:rPr>
      </w:pPr>
      <w:r w:rsidRPr="00602F94">
        <w:rPr>
          <w:rFonts w:ascii="ＭＳ 明朝" w:eastAsia="ＭＳ 明朝" w:hAnsi="ＭＳ 明朝"/>
          <w:noProof/>
          <w:sz w:val="21"/>
        </w:rPr>
        <w:lastRenderedPageBreak/>
        <w:drawing>
          <wp:inline distT="0" distB="0" distL="0" distR="0" wp14:anchorId="6460AE04" wp14:editId="6C00B2A8">
            <wp:extent cx="5306938" cy="2985117"/>
            <wp:effectExtent l="12700" t="12700" r="14605" b="1270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09879" cy="2986771"/>
                    </a:xfrm>
                    <a:prstGeom prst="rect">
                      <a:avLst/>
                    </a:prstGeom>
                    <a:ln>
                      <a:solidFill>
                        <a:schemeClr val="tx1"/>
                      </a:solidFill>
                    </a:ln>
                  </pic:spPr>
                </pic:pic>
              </a:graphicData>
            </a:graphic>
          </wp:inline>
        </w:drawing>
      </w:r>
    </w:p>
    <w:p w14:paraId="5DF24912" w14:textId="77777777" w:rsidR="00617D04" w:rsidRDefault="00617D04" w:rsidP="00617D04">
      <w:pPr>
        <w:tabs>
          <w:tab w:val="left" w:pos="0"/>
        </w:tabs>
        <w:autoSpaceDE w:val="0"/>
        <w:autoSpaceDN w:val="0"/>
        <w:adjustRightInd w:val="0"/>
        <w:jc w:val="left"/>
        <w:rPr>
          <w:rFonts w:ascii="ＭＳ 明朝" w:eastAsia="ＭＳ 明朝" w:hAnsi="ＭＳ 明朝"/>
          <w:sz w:val="21"/>
        </w:rPr>
      </w:pPr>
      <w:r>
        <w:rPr>
          <w:rFonts w:ascii="ＭＳ 明朝" w:eastAsia="ＭＳ 明朝" w:hAnsi="ＭＳ 明朝" w:hint="eastAsia"/>
          <w:sz w:val="21"/>
        </w:rPr>
        <w:t>ブレーキかかったまま転写発現（</w:t>
      </w:r>
      <w:r w:rsidRPr="00983E71">
        <w:rPr>
          <w:rFonts w:ascii="Times New Roman" w:eastAsia="ＭＳ 明朝" w:hAnsi="Times New Roman"/>
          <w:sz w:val="21"/>
        </w:rPr>
        <w:t>Pol II running</w:t>
      </w:r>
      <w:r>
        <w:rPr>
          <w:rFonts w:ascii="ＭＳ 明朝" w:eastAsia="ＭＳ 明朝" w:hAnsi="ＭＳ 明朝"/>
          <w:sz w:val="21"/>
        </w:rPr>
        <w:t>）</w:t>
      </w:r>
      <w:r>
        <w:rPr>
          <w:rFonts w:ascii="ＭＳ 明朝" w:eastAsia="ＭＳ 明朝" w:hAnsi="ＭＳ 明朝" w:hint="eastAsia"/>
          <w:sz w:val="21"/>
        </w:rPr>
        <w:t>を許すことがあるのか？神経系の前例を参考にした。</w:t>
      </w:r>
      <w:r>
        <w:rPr>
          <w:rFonts w:ascii="ＭＳ 明朝" w:eastAsia="ＭＳ 明朝" w:hAnsi="ＭＳ 明朝"/>
          <w:sz w:val="21"/>
        </w:rPr>
        <w:t>Noncanonical PRC1.5</w:t>
      </w:r>
      <w:r>
        <w:rPr>
          <w:rFonts w:ascii="ＭＳ 明朝" w:eastAsia="ＭＳ 明朝" w:hAnsi="ＭＳ 明朝" w:hint="eastAsia"/>
          <w:sz w:val="21"/>
        </w:rPr>
        <w:t xml:space="preserve"> はジョーカー</w:t>
      </w:r>
      <w:r>
        <w:rPr>
          <w:rFonts w:ascii="ＭＳ 明朝" w:eastAsia="ＭＳ 明朝" w:hAnsi="ＭＳ 明朝"/>
          <w:sz w:val="21"/>
        </w:rPr>
        <w:t>(</w:t>
      </w:r>
      <w:r>
        <w:rPr>
          <w:rFonts w:ascii="ＭＳ 明朝" w:eastAsia="ＭＳ 明朝" w:hAnsi="ＭＳ 明朝" w:hint="eastAsia"/>
          <w:sz w:val="21"/>
        </w:rPr>
        <w:t>B</w:t>
      </w:r>
      <w:r>
        <w:rPr>
          <w:rFonts w:ascii="ＭＳ 明朝" w:eastAsia="ＭＳ 明朝" w:hAnsi="ＭＳ 明朝"/>
          <w:sz w:val="21"/>
        </w:rPr>
        <w:t>etrayer</w:t>
      </w:r>
      <w:r>
        <w:rPr>
          <w:rFonts w:ascii="ＭＳ 明朝" w:eastAsia="ＭＳ 明朝" w:hAnsi="ＭＳ 明朝" w:hint="eastAsia"/>
          <w:sz w:val="21"/>
        </w:rPr>
        <w:t>)</w:t>
      </w:r>
      <w:r>
        <w:rPr>
          <w:rFonts w:ascii="ＭＳ 明朝" w:eastAsia="ＭＳ 明朝" w:hAnsi="ＭＳ 明朝"/>
          <w:sz w:val="21"/>
        </w:rPr>
        <w:t xml:space="preserve">PRC1 </w:t>
      </w:r>
      <w:r>
        <w:rPr>
          <w:rFonts w:ascii="ＭＳ 明朝" w:eastAsia="ＭＳ 明朝" w:hAnsi="ＭＳ 明朝" w:hint="eastAsia"/>
          <w:sz w:val="21"/>
        </w:rPr>
        <w:t>で転写促進に寄与する。内皮細胞では</w:t>
      </w:r>
      <w:r>
        <w:rPr>
          <w:rFonts w:ascii="ＭＳ 明朝" w:eastAsia="ＭＳ 明朝" w:hAnsi="ＭＳ 明朝"/>
          <w:sz w:val="21"/>
        </w:rPr>
        <w:t xml:space="preserve"> PRC1.3 </w:t>
      </w:r>
      <w:r>
        <w:rPr>
          <w:rFonts w:ascii="ＭＳ 明朝" w:eastAsia="ＭＳ 明朝" w:hAnsi="ＭＳ 明朝" w:hint="eastAsia"/>
          <w:sz w:val="21"/>
        </w:rPr>
        <w:t>がその役者であった。</w:t>
      </w:r>
    </w:p>
    <w:p w14:paraId="32EA11AE" w14:textId="77777777" w:rsidR="00617D04" w:rsidRDefault="00617D04" w:rsidP="00617D04">
      <w:pPr>
        <w:tabs>
          <w:tab w:val="left" w:pos="0"/>
        </w:tabs>
        <w:autoSpaceDE w:val="0"/>
        <w:autoSpaceDN w:val="0"/>
        <w:adjustRightInd w:val="0"/>
        <w:jc w:val="left"/>
        <w:rPr>
          <w:rFonts w:ascii="ＭＳ 明朝" w:eastAsia="ＭＳ 明朝" w:hAnsi="ＭＳ 明朝"/>
          <w:sz w:val="21"/>
        </w:rPr>
      </w:pPr>
    </w:p>
    <w:p w14:paraId="33E97699" w14:textId="77777777" w:rsidR="00617D04" w:rsidRDefault="00617D04" w:rsidP="00617D04">
      <w:pPr>
        <w:tabs>
          <w:tab w:val="left" w:pos="0"/>
        </w:tabs>
        <w:autoSpaceDE w:val="0"/>
        <w:autoSpaceDN w:val="0"/>
        <w:adjustRightInd w:val="0"/>
        <w:jc w:val="left"/>
        <w:rPr>
          <w:rFonts w:ascii="ＭＳ 明朝" w:eastAsia="ＭＳ 明朝" w:hAnsi="ＭＳ 明朝"/>
          <w:sz w:val="21"/>
        </w:rPr>
      </w:pPr>
      <w:r w:rsidRPr="00D70E4E">
        <w:rPr>
          <w:rFonts w:ascii="ＭＳ 明朝" w:eastAsia="ＭＳ 明朝" w:hAnsi="ＭＳ 明朝"/>
          <w:noProof/>
          <w:sz w:val="21"/>
        </w:rPr>
        <w:drawing>
          <wp:inline distT="0" distB="0" distL="0" distR="0" wp14:anchorId="71D2C3C0" wp14:editId="3DAC8C2B">
            <wp:extent cx="5868035" cy="1061085"/>
            <wp:effectExtent l="0" t="0" r="0" b="571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68035" cy="1061085"/>
                    </a:xfrm>
                    <a:prstGeom prst="rect">
                      <a:avLst/>
                    </a:prstGeom>
                  </pic:spPr>
                </pic:pic>
              </a:graphicData>
            </a:graphic>
          </wp:inline>
        </w:drawing>
      </w:r>
    </w:p>
    <w:p w14:paraId="1E779B4F" w14:textId="77777777" w:rsidR="00617D04" w:rsidRDefault="00617D04" w:rsidP="00617D04">
      <w:pPr>
        <w:tabs>
          <w:tab w:val="left" w:pos="0"/>
        </w:tabs>
        <w:autoSpaceDE w:val="0"/>
        <w:autoSpaceDN w:val="0"/>
        <w:adjustRightInd w:val="0"/>
        <w:jc w:val="left"/>
        <w:rPr>
          <w:rFonts w:ascii="ＭＳ 明朝" w:eastAsia="ＭＳ 明朝" w:hAnsi="ＭＳ 明朝"/>
          <w:sz w:val="21"/>
        </w:rPr>
      </w:pPr>
      <w:r>
        <w:rPr>
          <w:rFonts w:ascii="ＭＳ 明朝" w:eastAsia="ＭＳ 明朝" w:hAnsi="ＭＳ 明朝" w:hint="eastAsia"/>
          <w:sz w:val="21"/>
        </w:rPr>
        <w:t>トリソラックス複合体</w:t>
      </w:r>
      <w:r>
        <w:rPr>
          <w:rFonts w:ascii="ＭＳ 明朝" w:eastAsia="ＭＳ 明朝" w:hAnsi="ＭＳ 明朝"/>
          <w:sz w:val="21"/>
        </w:rPr>
        <w:t xml:space="preserve"> (H3K4me3 </w:t>
      </w:r>
      <w:r>
        <w:rPr>
          <w:rFonts w:ascii="ＭＳ 明朝" w:eastAsia="ＭＳ 明朝" w:hAnsi="ＭＳ 明朝" w:hint="eastAsia"/>
          <w:sz w:val="21"/>
        </w:rPr>
        <w:t>修飾酵素)</w:t>
      </w:r>
      <w:r>
        <w:rPr>
          <w:rFonts w:ascii="ＭＳ 明朝" w:eastAsia="ＭＳ 明朝" w:hAnsi="ＭＳ 明朝"/>
          <w:sz w:val="21"/>
        </w:rPr>
        <w:t xml:space="preserve"> </w:t>
      </w:r>
      <w:r>
        <w:rPr>
          <w:rFonts w:ascii="ＭＳ 明朝" w:eastAsia="ＭＳ 明朝" w:hAnsi="ＭＳ 明朝" w:hint="eastAsia"/>
          <w:sz w:val="21"/>
        </w:rPr>
        <w:t>の概要</w:t>
      </w:r>
    </w:p>
    <w:p w14:paraId="6D8DE35D" w14:textId="77777777" w:rsidR="00617D04" w:rsidRDefault="00617D04" w:rsidP="00617D04">
      <w:pPr>
        <w:tabs>
          <w:tab w:val="left" w:pos="0"/>
        </w:tabs>
        <w:autoSpaceDE w:val="0"/>
        <w:autoSpaceDN w:val="0"/>
        <w:adjustRightInd w:val="0"/>
        <w:jc w:val="left"/>
        <w:rPr>
          <w:rFonts w:ascii="ＭＳ 明朝" w:eastAsia="ＭＳ 明朝" w:hAnsi="ＭＳ 明朝"/>
          <w:sz w:val="21"/>
        </w:rPr>
      </w:pPr>
    </w:p>
    <w:p w14:paraId="7758536E" w14:textId="77777777" w:rsidR="00617D04" w:rsidRDefault="00617D04" w:rsidP="00617D04">
      <w:pPr>
        <w:tabs>
          <w:tab w:val="left" w:pos="0"/>
        </w:tabs>
        <w:autoSpaceDE w:val="0"/>
        <w:autoSpaceDN w:val="0"/>
        <w:adjustRightInd w:val="0"/>
        <w:jc w:val="left"/>
        <w:rPr>
          <w:rFonts w:ascii="ＭＳ 明朝" w:eastAsia="ＭＳ 明朝" w:hAnsi="ＭＳ 明朝"/>
          <w:sz w:val="21"/>
        </w:rPr>
      </w:pPr>
      <w:r w:rsidRPr="00D70E4E">
        <w:rPr>
          <w:rFonts w:ascii="ＭＳ 明朝" w:eastAsia="ＭＳ 明朝" w:hAnsi="ＭＳ 明朝"/>
          <w:noProof/>
          <w:sz w:val="21"/>
        </w:rPr>
        <w:lastRenderedPageBreak/>
        <w:drawing>
          <wp:inline distT="0" distB="0" distL="0" distR="0" wp14:anchorId="1F8A2B5C" wp14:editId="07C91359">
            <wp:extent cx="4678941" cy="4001985"/>
            <wp:effectExtent l="12700" t="12700" r="7620" b="1143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01384" cy="4021181"/>
                    </a:xfrm>
                    <a:prstGeom prst="rect">
                      <a:avLst/>
                    </a:prstGeom>
                    <a:ln>
                      <a:solidFill>
                        <a:schemeClr val="tx1"/>
                      </a:solidFill>
                    </a:ln>
                  </pic:spPr>
                </pic:pic>
              </a:graphicData>
            </a:graphic>
          </wp:inline>
        </w:drawing>
      </w:r>
    </w:p>
    <w:p w14:paraId="12858B7D" w14:textId="77777777" w:rsidR="00617D04" w:rsidRDefault="00617D04" w:rsidP="00617D04">
      <w:pPr>
        <w:tabs>
          <w:tab w:val="left" w:pos="0"/>
        </w:tabs>
        <w:autoSpaceDE w:val="0"/>
        <w:autoSpaceDN w:val="0"/>
        <w:adjustRightInd w:val="0"/>
        <w:jc w:val="left"/>
        <w:rPr>
          <w:rFonts w:ascii="ＭＳ 明朝" w:eastAsia="ＭＳ 明朝" w:hAnsi="ＭＳ 明朝"/>
          <w:sz w:val="21"/>
        </w:rPr>
      </w:pPr>
      <w:r>
        <w:rPr>
          <w:rFonts w:ascii="ＭＳ 明朝" w:eastAsia="ＭＳ 明朝" w:hAnsi="ＭＳ 明朝" w:hint="eastAsia"/>
          <w:sz w:val="21"/>
        </w:rPr>
        <w:t>VEGF シグナルを受けた血管内皮活性化のエピゲノム変化の概要</w:t>
      </w:r>
    </w:p>
    <w:p w14:paraId="2844FCE0" w14:textId="77777777" w:rsidR="00617D04" w:rsidRDefault="00617D04" w:rsidP="00617D04">
      <w:pPr>
        <w:tabs>
          <w:tab w:val="left" w:pos="0"/>
        </w:tabs>
        <w:autoSpaceDE w:val="0"/>
        <w:autoSpaceDN w:val="0"/>
        <w:adjustRightInd w:val="0"/>
        <w:jc w:val="left"/>
        <w:rPr>
          <w:rFonts w:ascii="ＭＳ 明朝" w:eastAsia="ＭＳ 明朝" w:hAnsi="ＭＳ 明朝"/>
          <w:sz w:val="21"/>
        </w:rPr>
      </w:pPr>
      <w:r>
        <w:rPr>
          <w:rFonts w:ascii="ＭＳ 明朝" w:eastAsia="ＭＳ 明朝" w:hAnsi="ＭＳ 明朝" w:hint="eastAsia"/>
          <w:noProof/>
          <w:sz w:val="21"/>
        </w:rPr>
        <w:drawing>
          <wp:inline distT="0" distB="0" distL="0" distR="0" wp14:anchorId="3DC728D6" wp14:editId="1C767B74">
            <wp:extent cx="3657600" cy="35941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0" cy="3594100"/>
                    </a:xfrm>
                    <a:prstGeom prst="rect">
                      <a:avLst/>
                    </a:prstGeom>
                  </pic:spPr>
                </pic:pic>
              </a:graphicData>
            </a:graphic>
          </wp:inline>
        </w:drawing>
      </w:r>
    </w:p>
    <w:p w14:paraId="79A5D545" w14:textId="77777777" w:rsidR="00617D04" w:rsidRDefault="00617D04" w:rsidP="00617D04">
      <w:pPr>
        <w:tabs>
          <w:tab w:val="left" w:pos="0"/>
        </w:tabs>
        <w:autoSpaceDE w:val="0"/>
        <w:autoSpaceDN w:val="0"/>
        <w:adjustRightInd w:val="0"/>
        <w:jc w:val="left"/>
        <w:rPr>
          <w:rFonts w:ascii="ＭＳ 明朝" w:eastAsia="ＭＳ 明朝" w:hAnsi="ＭＳ 明朝"/>
          <w:sz w:val="21"/>
        </w:rPr>
      </w:pPr>
    </w:p>
    <w:p w14:paraId="69F3A53C" w14:textId="77777777" w:rsidR="00617D04" w:rsidRPr="00D70E4E" w:rsidRDefault="00617D04" w:rsidP="00617D04">
      <w:pPr>
        <w:tabs>
          <w:tab w:val="left" w:pos="0"/>
        </w:tabs>
        <w:autoSpaceDE w:val="0"/>
        <w:autoSpaceDN w:val="0"/>
        <w:adjustRightInd w:val="0"/>
        <w:jc w:val="left"/>
        <w:rPr>
          <w:rFonts w:ascii="ＭＳ 明朝" w:eastAsia="ＭＳ 明朝" w:hAnsi="ＭＳ 明朝"/>
          <w:sz w:val="21"/>
        </w:rPr>
      </w:pPr>
      <w:r>
        <w:rPr>
          <w:rFonts w:ascii="ＭＳ 明朝" w:eastAsia="ＭＳ 明朝" w:hAnsi="ＭＳ 明朝" w:hint="eastAsia"/>
          <w:noProof/>
          <w:sz w:val="21"/>
        </w:rPr>
        <w:lastRenderedPageBreak/>
        <w:drawing>
          <wp:inline distT="0" distB="0" distL="0" distR="0" wp14:anchorId="086ABF3A" wp14:editId="0236BC63">
            <wp:extent cx="2589375" cy="3531705"/>
            <wp:effectExtent l="0" t="0" r="190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5582" cy="3553810"/>
                    </a:xfrm>
                    <a:prstGeom prst="rect">
                      <a:avLst/>
                    </a:prstGeom>
                  </pic:spPr>
                </pic:pic>
              </a:graphicData>
            </a:graphic>
          </wp:inline>
        </w:drawing>
      </w:r>
    </w:p>
    <w:p w14:paraId="35403A6F" w14:textId="77777777" w:rsidR="00617D04" w:rsidRPr="0045264E" w:rsidRDefault="00617D04">
      <w:pPr>
        <w:rPr>
          <w:sz w:val="22"/>
          <w:szCs w:val="22"/>
        </w:rPr>
      </w:pPr>
    </w:p>
    <w:sectPr w:rsidR="00617D04" w:rsidRPr="0045264E" w:rsidSect="00BF1948">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PｺﾞｼｯｸM">
    <w:altName w:val="游ゴシック"/>
    <w:panose1 w:val="020B0600000000000000"/>
    <w:charset w:val="80"/>
    <w:family w:val="moder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19A3"/>
    <w:rsid w:val="00000450"/>
    <w:rsid w:val="00015BC1"/>
    <w:rsid w:val="000202FC"/>
    <w:rsid w:val="00035DA5"/>
    <w:rsid w:val="000657D5"/>
    <w:rsid w:val="000674AB"/>
    <w:rsid w:val="00072735"/>
    <w:rsid w:val="000A7FE8"/>
    <w:rsid w:val="000C29D6"/>
    <w:rsid w:val="000D474D"/>
    <w:rsid w:val="000E052D"/>
    <w:rsid w:val="000E4267"/>
    <w:rsid w:val="001A3842"/>
    <w:rsid w:val="001B6628"/>
    <w:rsid w:val="001B68E0"/>
    <w:rsid w:val="001C4EEF"/>
    <w:rsid w:val="002052A7"/>
    <w:rsid w:val="00205CD1"/>
    <w:rsid w:val="00226978"/>
    <w:rsid w:val="00242A15"/>
    <w:rsid w:val="002466A5"/>
    <w:rsid w:val="00283788"/>
    <w:rsid w:val="00293A57"/>
    <w:rsid w:val="00297539"/>
    <w:rsid w:val="002C6B63"/>
    <w:rsid w:val="002D493D"/>
    <w:rsid w:val="002E1E0F"/>
    <w:rsid w:val="0031546B"/>
    <w:rsid w:val="003161D6"/>
    <w:rsid w:val="00322997"/>
    <w:rsid w:val="003437E6"/>
    <w:rsid w:val="003630AA"/>
    <w:rsid w:val="00381B06"/>
    <w:rsid w:val="00391333"/>
    <w:rsid w:val="003B6D18"/>
    <w:rsid w:val="003C73F8"/>
    <w:rsid w:val="003F15C7"/>
    <w:rsid w:val="003F7803"/>
    <w:rsid w:val="004112F6"/>
    <w:rsid w:val="0042371D"/>
    <w:rsid w:val="00430F6C"/>
    <w:rsid w:val="00431F73"/>
    <w:rsid w:val="004346A2"/>
    <w:rsid w:val="00444307"/>
    <w:rsid w:val="00450A87"/>
    <w:rsid w:val="0045264E"/>
    <w:rsid w:val="004563A9"/>
    <w:rsid w:val="00472007"/>
    <w:rsid w:val="00485224"/>
    <w:rsid w:val="004C6ECD"/>
    <w:rsid w:val="004D3788"/>
    <w:rsid w:val="004E4410"/>
    <w:rsid w:val="004F4FE6"/>
    <w:rsid w:val="005676E6"/>
    <w:rsid w:val="005D2867"/>
    <w:rsid w:val="005D737B"/>
    <w:rsid w:val="005F1A25"/>
    <w:rsid w:val="00617D04"/>
    <w:rsid w:val="0063544C"/>
    <w:rsid w:val="0066193B"/>
    <w:rsid w:val="00675B60"/>
    <w:rsid w:val="00685525"/>
    <w:rsid w:val="006878AA"/>
    <w:rsid w:val="00697FCB"/>
    <w:rsid w:val="006A18DD"/>
    <w:rsid w:val="006C11F8"/>
    <w:rsid w:val="006C29A3"/>
    <w:rsid w:val="006E03A8"/>
    <w:rsid w:val="006F468A"/>
    <w:rsid w:val="00712E89"/>
    <w:rsid w:val="0071539B"/>
    <w:rsid w:val="007219A3"/>
    <w:rsid w:val="00722737"/>
    <w:rsid w:val="00735523"/>
    <w:rsid w:val="00737DA6"/>
    <w:rsid w:val="007516E7"/>
    <w:rsid w:val="00782FAF"/>
    <w:rsid w:val="00823663"/>
    <w:rsid w:val="00863409"/>
    <w:rsid w:val="00890C85"/>
    <w:rsid w:val="0089188E"/>
    <w:rsid w:val="008B795D"/>
    <w:rsid w:val="008D0F40"/>
    <w:rsid w:val="008E4C31"/>
    <w:rsid w:val="008E6058"/>
    <w:rsid w:val="00911DDC"/>
    <w:rsid w:val="009129A4"/>
    <w:rsid w:val="0092221B"/>
    <w:rsid w:val="009344EB"/>
    <w:rsid w:val="0094220C"/>
    <w:rsid w:val="00997481"/>
    <w:rsid w:val="009A7314"/>
    <w:rsid w:val="009B6BC4"/>
    <w:rsid w:val="009C09E2"/>
    <w:rsid w:val="009D106A"/>
    <w:rsid w:val="009E3720"/>
    <w:rsid w:val="009F5D71"/>
    <w:rsid w:val="00A0281F"/>
    <w:rsid w:val="00A07D0E"/>
    <w:rsid w:val="00A55176"/>
    <w:rsid w:val="00A70A2B"/>
    <w:rsid w:val="00A939C6"/>
    <w:rsid w:val="00AB60D2"/>
    <w:rsid w:val="00AC46D1"/>
    <w:rsid w:val="00AC6286"/>
    <w:rsid w:val="00AE7B65"/>
    <w:rsid w:val="00B015E4"/>
    <w:rsid w:val="00B138B1"/>
    <w:rsid w:val="00B14375"/>
    <w:rsid w:val="00B44B2C"/>
    <w:rsid w:val="00B5340B"/>
    <w:rsid w:val="00B54FD3"/>
    <w:rsid w:val="00B57526"/>
    <w:rsid w:val="00B57662"/>
    <w:rsid w:val="00B60B85"/>
    <w:rsid w:val="00B907A9"/>
    <w:rsid w:val="00B949A0"/>
    <w:rsid w:val="00BB21DC"/>
    <w:rsid w:val="00BB45A7"/>
    <w:rsid w:val="00BB6DC6"/>
    <w:rsid w:val="00BD6E86"/>
    <w:rsid w:val="00BF1948"/>
    <w:rsid w:val="00C47B51"/>
    <w:rsid w:val="00C601AC"/>
    <w:rsid w:val="00C7307B"/>
    <w:rsid w:val="00C83BDB"/>
    <w:rsid w:val="00C86E8C"/>
    <w:rsid w:val="00C952A5"/>
    <w:rsid w:val="00CA2F54"/>
    <w:rsid w:val="00CA3453"/>
    <w:rsid w:val="00CA7A7F"/>
    <w:rsid w:val="00CB0B10"/>
    <w:rsid w:val="00CB1918"/>
    <w:rsid w:val="00CB77F3"/>
    <w:rsid w:val="00CE5E04"/>
    <w:rsid w:val="00D15930"/>
    <w:rsid w:val="00D20AD2"/>
    <w:rsid w:val="00D2781C"/>
    <w:rsid w:val="00D368CB"/>
    <w:rsid w:val="00D53F3E"/>
    <w:rsid w:val="00D63D69"/>
    <w:rsid w:val="00DA7AAF"/>
    <w:rsid w:val="00DB4FE7"/>
    <w:rsid w:val="00DC094A"/>
    <w:rsid w:val="00DD5538"/>
    <w:rsid w:val="00DD7C94"/>
    <w:rsid w:val="00DE7BFF"/>
    <w:rsid w:val="00E057AB"/>
    <w:rsid w:val="00E16E97"/>
    <w:rsid w:val="00E203ED"/>
    <w:rsid w:val="00E233F5"/>
    <w:rsid w:val="00E246BC"/>
    <w:rsid w:val="00E42191"/>
    <w:rsid w:val="00E427A8"/>
    <w:rsid w:val="00E44222"/>
    <w:rsid w:val="00E467DB"/>
    <w:rsid w:val="00E468A1"/>
    <w:rsid w:val="00E51FD9"/>
    <w:rsid w:val="00E7089E"/>
    <w:rsid w:val="00E8291D"/>
    <w:rsid w:val="00E95E8D"/>
    <w:rsid w:val="00EA053E"/>
    <w:rsid w:val="00EA7E02"/>
    <w:rsid w:val="00ED79FF"/>
    <w:rsid w:val="00EE0750"/>
    <w:rsid w:val="00EF061D"/>
    <w:rsid w:val="00EF58CF"/>
    <w:rsid w:val="00F06FB6"/>
    <w:rsid w:val="00F3350D"/>
    <w:rsid w:val="00F340E9"/>
    <w:rsid w:val="00F45442"/>
    <w:rsid w:val="00F458C0"/>
    <w:rsid w:val="00F66220"/>
    <w:rsid w:val="00F73548"/>
    <w:rsid w:val="00F82502"/>
    <w:rsid w:val="00FA11F3"/>
    <w:rsid w:val="00FC7B3D"/>
    <w:rsid w:val="00FD4A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C50C2D3"/>
  <w14:defaultImageDpi w14:val="32767"/>
  <w15:chartTrackingRefBased/>
  <w15:docId w15:val="{D8B39320-BCA6-684A-9E10-D96AAFA6B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55080">
      <w:bodyDiv w:val="1"/>
      <w:marLeft w:val="0"/>
      <w:marRight w:val="0"/>
      <w:marTop w:val="0"/>
      <w:marBottom w:val="0"/>
      <w:divBdr>
        <w:top w:val="none" w:sz="0" w:space="0" w:color="auto"/>
        <w:left w:val="none" w:sz="0" w:space="0" w:color="auto"/>
        <w:bottom w:val="none" w:sz="0" w:space="0" w:color="auto"/>
        <w:right w:val="none" w:sz="0" w:space="0" w:color="auto"/>
      </w:divBdr>
    </w:div>
    <w:div w:id="1597254280">
      <w:bodyDiv w:val="1"/>
      <w:marLeft w:val="0"/>
      <w:marRight w:val="0"/>
      <w:marTop w:val="0"/>
      <w:marBottom w:val="0"/>
      <w:divBdr>
        <w:top w:val="none" w:sz="0" w:space="0" w:color="auto"/>
        <w:left w:val="none" w:sz="0" w:space="0" w:color="auto"/>
        <w:bottom w:val="none" w:sz="0" w:space="0" w:color="auto"/>
        <w:right w:val="none" w:sz="0" w:space="0" w:color="auto"/>
      </w:divBdr>
    </w:div>
    <w:div w:id="1639068869">
      <w:bodyDiv w:val="1"/>
      <w:marLeft w:val="0"/>
      <w:marRight w:val="0"/>
      <w:marTop w:val="0"/>
      <w:marBottom w:val="0"/>
      <w:divBdr>
        <w:top w:val="none" w:sz="0" w:space="0" w:color="auto"/>
        <w:left w:val="none" w:sz="0" w:space="0" w:color="auto"/>
        <w:bottom w:val="none" w:sz="0" w:space="0" w:color="auto"/>
        <w:right w:val="none" w:sz="0" w:space="0" w:color="auto"/>
      </w:divBdr>
    </w:div>
    <w:div w:id="186589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emf"/><Relationship Id="rId14"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743</Words>
  <Characters>4241</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熊本大学</Company>
  <LinksUpToDate>false</LinksUpToDate>
  <CharactersWithSpaces>4975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Takashi Minami</dc:creator>
  <cp:keywords/>
  <dc:description/>
  <cp:lastModifiedBy>柴田 晃子</cp:lastModifiedBy>
  <cp:revision>2</cp:revision>
  <dcterms:created xsi:type="dcterms:W3CDTF">2022-02-18T02:19:00Z</dcterms:created>
  <dcterms:modified xsi:type="dcterms:W3CDTF">2022-02-18T02:19:00Z</dcterms:modified>
</cp:coreProperties>
</file>